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5662" w14:textId="77777777" w:rsidR="002A5D13" w:rsidRDefault="007A7CA7" w:rsidP="008627AA">
      <w:pPr>
        <w:tabs>
          <w:tab w:val="left" w:pos="1328"/>
          <w:tab w:val="left" w:pos="5280"/>
        </w:tabs>
        <w:rPr>
          <w:b/>
          <w:noProof/>
          <w:lang w:eastAsia="de-DE"/>
        </w:rPr>
      </w:pPr>
      <w:r>
        <w:rPr>
          <w:b/>
          <w:noProof/>
          <w:lang w:eastAsia="de-DE"/>
        </w:rPr>
        <w:tab/>
      </w:r>
      <w:r w:rsidR="008627AA">
        <w:rPr>
          <w:b/>
          <w:noProof/>
          <w:lang w:eastAsia="de-DE"/>
        </w:rPr>
        <w:tab/>
      </w:r>
    </w:p>
    <w:p w14:paraId="2DDD94BA" w14:textId="77777777" w:rsidR="005B4234" w:rsidRDefault="007A7CA7" w:rsidP="00E36DD3">
      <w:pPr>
        <w:tabs>
          <w:tab w:val="left" w:pos="1836"/>
          <w:tab w:val="left" w:pos="2430"/>
          <w:tab w:val="left" w:pos="4185"/>
          <w:tab w:val="left" w:pos="6900"/>
        </w:tabs>
      </w:pPr>
      <w:r>
        <w:tab/>
      </w:r>
      <w:r w:rsidR="00897F98">
        <w:tab/>
      </w:r>
    </w:p>
    <w:p w14:paraId="0199567E" w14:textId="03B74627" w:rsidR="007A7CA7" w:rsidRDefault="007A7CA7" w:rsidP="001C43FF">
      <w:pPr>
        <w:tabs>
          <w:tab w:val="left" w:pos="1836"/>
          <w:tab w:val="left" w:pos="2430"/>
          <w:tab w:val="left" w:pos="4185"/>
          <w:tab w:val="left" w:pos="6900"/>
        </w:tabs>
      </w:pPr>
      <w:r>
        <w:tab/>
      </w:r>
      <w:r w:rsidR="00B707AF">
        <w:tab/>
      </w:r>
    </w:p>
    <w:p w14:paraId="24E53584" w14:textId="0842D77B" w:rsidR="009503FB" w:rsidRDefault="009503FB" w:rsidP="00581B4B"/>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4"/>
        <w:gridCol w:w="7513"/>
      </w:tblGrid>
      <w:tr w:rsidR="00505819" w:rsidRPr="00505819" w14:paraId="01B4FC86" w14:textId="77777777" w:rsidTr="00B43535">
        <w:tblPrEx>
          <w:tblCellMar>
            <w:top w:w="0" w:type="dxa"/>
            <w:bottom w:w="0" w:type="dxa"/>
          </w:tblCellMar>
        </w:tblPrEx>
        <w:trPr>
          <w:trHeight w:val="161"/>
          <w:jc w:val="center"/>
        </w:trPr>
        <w:tc>
          <w:tcPr>
            <w:tcW w:w="9797" w:type="dxa"/>
            <w:gridSpan w:val="2"/>
            <w:shd w:val="clear" w:color="auto" w:fill="0790CF"/>
          </w:tcPr>
          <w:p w14:paraId="7AF41ACC" w14:textId="77777777" w:rsidR="00505819" w:rsidRPr="00505819" w:rsidRDefault="00505819" w:rsidP="00505819">
            <w:pPr>
              <w:spacing w:before="120" w:after="120"/>
              <w:rPr>
                <w:rFonts w:ascii="Arial" w:hAnsi="Arial" w:cs="Arial"/>
                <w:b/>
                <w:sz w:val="28"/>
                <w:szCs w:val="28"/>
              </w:rPr>
            </w:pPr>
            <w:r w:rsidRPr="00505819">
              <w:rPr>
                <w:rFonts w:ascii="Arial" w:hAnsi="Arial" w:cs="Arial"/>
                <w:b/>
                <w:sz w:val="28"/>
                <w:szCs w:val="28"/>
              </w:rPr>
              <w:t xml:space="preserve">Übersicht: Förderungsmaßnahmen für die Lesekompetenz </w:t>
            </w:r>
          </w:p>
        </w:tc>
      </w:tr>
      <w:tr w:rsidR="00505819" w:rsidRPr="00505819" w14:paraId="2F4ABCF8" w14:textId="77777777" w:rsidTr="00B43535">
        <w:tblPrEx>
          <w:tblCellMar>
            <w:top w:w="0" w:type="dxa"/>
            <w:bottom w:w="0" w:type="dxa"/>
          </w:tblCellMar>
        </w:tblPrEx>
        <w:trPr>
          <w:trHeight w:val="482"/>
          <w:jc w:val="center"/>
        </w:trPr>
        <w:tc>
          <w:tcPr>
            <w:tcW w:w="2284" w:type="dxa"/>
            <w:shd w:val="clear" w:color="auto" w:fill="E4AA6A"/>
          </w:tcPr>
          <w:p w14:paraId="17485043" w14:textId="77777777" w:rsidR="00505819" w:rsidRPr="00505819" w:rsidRDefault="00505819" w:rsidP="00505819">
            <w:pPr>
              <w:spacing w:before="120" w:after="120"/>
              <w:rPr>
                <w:rFonts w:ascii="Arial" w:hAnsi="Arial" w:cs="Arial"/>
                <w:b/>
                <w:sz w:val="24"/>
                <w:szCs w:val="24"/>
              </w:rPr>
            </w:pPr>
            <w:r w:rsidRPr="00505819">
              <w:rPr>
                <w:rFonts w:ascii="Arial" w:hAnsi="Arial" w:cs="Arial"/>
                <w:b/>
                <w:sz w:val="24"/>
                <w:szCs w:val="24"/>
              </w:rPr>
              <w:t xml:space="preserve">Mehr Lesezeit einplanen </w:t>
            </w:r>
          </w:p>
        </w:tc>
        <w:tc>
          <w:tcPr>
            <w:tcW w:w="7513" w:type="dxa"/>
          </w:tcPr>
          <w:p w14:paraId="4C3BDAEE" w14:textId="77777777" w:rsidR="00505819" w:rsidRPr="00505819" w:rsidRDefault="00505819" w:rsidP="00505819">
            <w:pPr>
              <w:spacing w:before="120" w:after="120"/>
              <w:rPr>
                <w:rFonts w:ascii="Arial" w:hAnsi="Arial" w:cs="Arial"/>
                <w:bCs/>
                <w:sz w:val="24"/>
                <w:szCs w:val="24"/>
              </w:rPr>
            </w:pPr>
            <w:r w:rsidRPr="00505819">
              <w:rPr>
                <w:rFonts w:ascii="Arial" w:hAnsi="Arial" w:cs="Arial"/>
                <w:bCs/>
                <w:sz w:val="24"/>
                <w:szCs w:val="24"/>
              </w:rPr>
              <w:t xml:space="preserve">Schulen können feste Zeiten für freies Lesen in den Stundenplan integrieren, um die effektive Lesezeit deutlich zu erhöhen. Empfohlen werden mindestens 90 Minuten pro Woche in den unteren Klassen. Solche Lesephasen, etwa als tägliche stille Lesezeit oder wöchentliche Lesestunden, geben den Kindern Raum, ihre Lesegeläufigkeit zu steigern und in Geschichten einzutauchen. </w:t>
            </w:r>
          </w:p>
        </w:tc>
      </w:tr>
      <w:tr w:rsidR="00505819" w:rsidRPr="00505819" w14:paraId="41B6FE7A" w14:textId="77777777" w:rsidTr="00B43535">
        <w:tblPrEx>
          <w:tblCellMar>
            <w:top w:w="0" w:type="dxa"/>
            <w:bottom w:w="0" w:type="dxa"/>
          </w:tblCellMar>
        </w:tblPrEx>
        <w:trPr>
          <w:trHeight w:val="367"/>
          <w:jc w:val="center"/>
        </w:trPr>
        <w:tc>
          <w:tcPr>
            <w:tcW w:w="2284" w:type="dxa"/>
            <w:shd w:val="clear" w:color="auto" w:fill="E4AA6A"/>
          </w:tcPr>
          <w:p w14:paraId="7B025899" w14:textId="4A8E54B0" w:rsidR="00505819" w:rsidRPr="00505819" w:rsidRDefault="00505819" w:rsidP="00505819">
            <w:pPr>
              <w:spacing w:before="120" w:after="120"/>
              <w:rPr>
                <w:rFonts w:ascii="Arial" w:hAnsi="Arial" w:cs="Arial"/>
                <w:b/>
                <w:sz w:val="24"/>
                <w:szCs w:val="24"/>
              </w:rPr>
            </w:pPr>
            <w:r w:rsidRPr="00505819">
              <w:rPr>
                <w:rFonts w:ascii="Arial" w:hAnsi="Arial" w:cs="Arial"/>
                <w:b/>
                <w:sz w:val="24"/>
                <w:szCs w:val="24"/>
              </w:rPr>
              <w:t xml:space="preserve">Vielfältige Lesemethoden Lautleseverfahren </w:t>
            </w:r>
          </w:p>
        </w:tc>
        <w:tc>
          <w:tcPr>
            <w:tcW w:w="7513" w:type="dxa"/>
          </w:tcPr>
          <w:p w14:paraId="240DD527" w14:textId="77777777" w:rsidR="00505819" w:rsidRPr="00505819" w:rsidRDefault="00505819" w:rsidP="00505819">
            <w:pPr>
              <w:spacing w:before="120" w:after="120"/>
              <w:rPr>
                <w:rFonts w:ascii="Arial" w:hAnsi="Arial" w:cs="Arial"/>
                <w:bCs/>
                <w:sz w:val="24"/>
                <w:szCs w:val="24"/>
              </w:rPr>
            </w:pPr>
            <w:r w:rsidRPr="00505819">
              <w:rPr>
                <w:rFonts w:ascii="Arial" w:hAnsi="Arial" w:cs="Arial"/>
                <w:bCs/>
                <w:sz w:val="24"/>
                <w:szCs w:val="24"/>
              </w:rPr>
              <w:t xml:space="preserve">Unterschiedliche methodische Ansätze sprechen verschiedene Facetten des Lesens an. Lautleseverfahren (wie das Tandemlesen in Zweiergruppen oder chorisches Lesen im Klassenverband) verbessern nachweislich die Leseflüssigkeit, indem sie durch Wiederholung und Feedback das flüssige Lesen trainieren. </w:t>
            </w:r>
          </w:p>
        </w:tc>
      </w:tr>
      <w:tr w:rsidR="00505819" w:rsidRPr="00505819" w14:paraId="688A1E39" w14:textId="77777777" w:rsidTr="00B43535">
        <w:tblPrEx>
          <w:tblCellMar>
            <w:top w:w="0" w:type="dxa"/>
            <w:bottom w:w="0" w:type="dxa"/>
          </w:tblCellMar>
        </w:tblPrEx>
        <w:trPr>
          <w:trHeight w:val="367"/>
          <w:jc w:val="center"/>
        </w:trPr>
        <w:tc>
          <w:tcPr>
            <w:tcW w:w="2284" w:type="dxa"/>
            <w:shd w:val="clear" w:color="auto" w:fill="E4AA6A"/>
          </w:tcPr>
          <w:p w14:paraId="48BB9D67" w14:textId="1210A736" w:rsidR="00505819" w:rsidRPr="00505819" w:rsidRDefault="00505819" w:rsidP="00505819">
            <w:pPr>
              <w:spacing w:before="120" w:after="120"/>
              <w:rPr>
                <w:rFonts w:ascii="Arial" w:hAnsi="Arial" w:cs="Arial"/>
                <w:b/>
                <w:sz w:val="24"/>
                <w:szCs w:val="24"/>
              </w:rPr>
            </w:pPr>
            <w:r w:rsidRPr="00505819">
              <w:rPr>
                <w:rFonts w:ascii="Arial" w:hAnsi="Arial" w:cs="Arial"/>
                <w:b/>
                <w:sz w:val="24"/>
                <w:szCs w:val="24"/>
              </w:rPr>
              <w:t>Vielfältige Lesemethoden</w:t>
            </w:r>
            <w:r>
              <w:rPr>
                <w:rFonts w:ascii="Arial" w:hAnsi="Arial" w:cs="Arial"/>
                <w:b/>
                <w:sz w:val="24"/>
                <w:szCs w:val="24"/>
              </w:rPr>
              <w:t xml:space="preserve"> </w:t>
            </w:r>
            <w:r w:rsidRPr="00505819">
              <w:rPr>
                <w:rFonts w:ascii="Arial" w:hAnsi="Arial" w:cs="Arial"/>
                <w:b/>
                <w:sz w:val="24"/>
                <w:szCs w:val="24"/>
              </w:rPr>
              <w:t xml:space="preserve">Vielleseverfahren </w:t>
            </w:r>
          </w:p>
        </w:tc>
        <w:tc>
          <w:tcPr>
            <w:tcW w:w="7513" w:type="dxa"/>
          </w:tcPr>
          <w:p w14:paraId="60925314" w14:textId="77777777" w:rsidR="00505819" w:rsidRPr="00505819" w:rsidRDefault="00505819" w:rsidP="00505819">
            <w:pPr>
              <w:spacing w:before="120" w:after="120"/>
              <w:rPr>
                <w:rFonts w:ascii="Arial" w:hAnsi="Arial" w:cs="Arial"/>
                <w:bCs/>
                <w:sz w:val="24"/>
                <w:szCs w:val="24"/>
              </w:rPr>
            </w:pPr>
            <w:r w:rsidRPr="00505819">
              <w:rPr>
                <w:rFonts w:ascii="Arial" w:hAnsi="Arial" w:cs="Arial"/>
                <w:bCs/>
                <w:sz w:val="24"/>
                <w:szCs w:val="24"/>
              </w:rPr>
              <w:t xml:space="preserve">Die Lernenden lesen umfangreichere Texte oder viele Bücher nach eigener Wahl, was insbesondere die Lesemotivation und Wortschatzentwicklung fördert. Beide Ansätze, Intensität und Umfang, sollten kombiniert werden, um optimale Effekte zu erzielen. </w:t>
            </w:r>
          </w:p>
        </w:tc>
      </w:tr>
      <w:tr w:rsidR="00505819" w:rsidRPr="00505819" w14:paraId="390B45A4" w14:textId="77777777" w:rsidTr="00B43535">
        <w:tblPrEx>
          <w:tblCellMar>
            <w:top w:w="0" w:type="dxa"/>
            <w:bottom w:w="0" w:type="dxa"/>
          </w:tblCellMar>
        </w:tblPrEx>
        <w:trPr>
          <w:trHeight w:val="367"/>
          <w:jc w:val="center"/>
        </w:trPr>
        <w:tc>
          <w:tcPr>
            <w:tcW w:w="2284" w:type="dxa"/>
            <w:shd w:val="clear" w:color="auto" w:fill="E4AA6A"/>
          </w:tcPr>
          <w:p w14:paraId="15B6697F" w14:textId="77777777" w:rsidR="00505819" w:rsidRPr="00505819" w:rsidRDefault="00505819" w:rsidP="00505819">
            <w:pPr>
              <w:spacing w:before="120" w:after="120"/>
              <w:rPr>
                <w:rFonts w:ascii="Arial" w:hAnsi="Arial" w:cs="Arial"/>
                <w:b/>
                <w:sz w:val="24"/>
                <w:szCs w:val="24"/>
              </w:rPr>
            </w:pPr>
            <w:r w:rsidRPr="00505819">
              <w:rPr>
                <w:rFonts w:ascii="Arial" w:hAnsi="Arial" w:cs="Arial"/>
                <w:b/>
                <w:sz w:val="24"/>
                <w:szCs w:val="24"/>
              </w:rPr>
              <w:t xml:space="preserve">Lesestrategien vermitteln </w:t>
            </w:r>
          </w:p>
        </w:tc>
        <w:tc>
          <w:tcPr>
            <w:tcW w:w="7513" w:type="dxa"/>
          </w:tcPr>
          <w:p w14:paraId="11F9D91F" w14:textId="77777777" w:rsidR="00505819" w:rsidRPr="00505819" w:rsidRDefault="00505819" w:rsidP="00505819">
            <w:pPr>
              <w:spacing w:before="120" w:after="120"/>
              <w:rPr>
                <w:rFonts w:ascii="Arial" w:hAnsi="Arial" w:cs="Arial"/>
                <w:bCs/>
                <w:sz w:val="24"/>
                <w:szCs w:val="24"/>
              </w:rPr>
            </w:pPr>
            <w:r w:rsidRPr="00505819">
              <w:rPr>
                <w:rFonts w:ascii="Arial" w:hAnsi="Arial" w:cs="Arial"/>
                <w:bCs/>
                <w:sz w:val="24"/>
                <w:szCs w:val="24"/>
              </w:rPr>
              <w:t xml:space="preserve">Ab Sekundarstufe I rückt das strategische Lesen in den Vordergrund. Die </w:t>
            </w:r>
            <w:proofErr w:type="spellStart"/>
            <w:r w:rsidRPr="00505819">
              <w:rPr>
                <w:rFonts w:ascii="Arial" w:hAnsi="Arial" w:cs="Arial"/>
                <w:bCs/>
                <w:sz w:val="24"/>
                <w:szCs w:val="24"/>
              </w:rPr>
              <w:t>SuS</w:t>
            </w:r>
            <w:proofErr w:type="spellEnd"/>
            <w:r w:rsidRPr="00505819">
              <w:rPr>
                <w:rFonts w:ascii="Arial" w:hAnsi="Arial" w:cs="Arial"/>
                <w:bCs/>
                <w:sz w:val="24"/>
                <w:szCs w:val="24"/>
              </w:rPr>
              <w:t xml:space="preserve"> müssen lernen, sich Texte methodisch zu erschließen, sei es durch Markieren wichtiger Informationen, Zusammenfassen, Fragenstellen oder das Herstellen von Verbindungen. Diese Lesestrategien sollten explizit im Unterricht eingeführt und geübt werden. </w:t>
            </w:r>
          </w:p>
        </w:tc>
      </w:tr>
      <w:tr w:rsidR="00505819" w:rsidRPr="00505819" w14:paraId="59FFB8F9" w14:textId="77777777" w:rsidTr="00B43535">
        <w:tblPrEx>
          <w:tblCellMar>
            <w:top w:w="0" w:type="dxa"/>
            <w:bottom w:w="0" w:type="dxa"/>
          </w:tblCellMar>
        </w:tblPrEx>
        <w:trPr>
          <w:trHeight w:val="252"/>
          <w:jc w:val="center"/>
        </w:trPr>
        <w:tc>
          <w:tcPr>
            <w:tcW w:w="2284" w:type="dxa"/>
            <w:shd w:val="clear" w:color="auto" w:fill="E4AA6A"/>
          </w:tcPr>
          <w:p w14:paraId="007B7415" w14:textId="77777777" w:rsidR="00505819" w:rsidRPr="00505819" w:rsidRDefault="00505819" w:rsidP="00505819">
            <w:pPr>
              <w:spacing w:before="120" w:after="120"/>
              <w:rPr>
                <w:rFonts w:ascii="Arial" w:hAnsi="Arial" w:cs="Arial"/>
                <w:b/>
                <w:sz w:val="24"/>
                <w:szCs w:val="24"/>
              </w:rPr>
            </w:pPr>
            <w:r w:rsidRPr="00505819">
              <w:rPr>
                <w:rFonts w:ascii="Arial" w:hAnsi="Arial" w:cs="Arial"/>
                <w:b/>
                <w:sz w:val="24"/>
                <w:szCs w:val="24"/>
              </w:rPr>
              <w:t xml:space="preserve">Diagnostik und individuelle Förderung </w:t>
            </w:r>
          </w:p>
        </w:tc>
        <w:tc>
          <w:tcPr>
            <w:tcW w:w="7513" w:type="dxa"/>
          </w:tcPr>
          <w:p w14:paraId="1B20F264" w14:textId="77777777" w:rsidR="00505819" w:rsidRPr="00505819" w:rsidRDefault="00505819" w:rsidP="00505819">
            <w:pPr>
              <w:spacing w:before="120" w:after="120"/>
              <w:rPr>
                <w:rFonts w:ascii="Arial" w:hAnsi="Arial" w:cs="Arial"/>
                <w:bCs/>
                <w:sz w:val="24"/>
                <w:szCs w:val="24"/>
              </w:rPr>
            </w:pPr>
            <w:r w:rsidRPr="00505819">
              <w:rPr>
                <w:rFonts w:ascii="Arial" w:hAnsi="Arial" w:cs="Arial"/>
                <w:bCs/>
                <w:sz w:val="24"/>
                <w:szCs w:val="24"/>
              </w:rPr>
              <w:t xml:space="preserve">Wirksame Leseförderung basiert auf dem Prinzip der inneren Differenzierung: Stärkere </w:t>
            </w:r>
            <w:proofErr w:type="spellStart"/>
            <w:r w:rsidRPr="00505819">
              <w:rPr>
                <w:rFonts w:ascii="Arial" w:hAnsi="Arial" w:cs="Arial"/>
                <w:bCs/>
                <w:sz w:val="24"/>
                <w:szCs w:val="24"/>
              </w:rPr>
              <w:t>SuS</w:t>
            </w:r>
            <w:proofErr w:type="spellEnd"/>
            <w:r w:rsidRPr="00505819">
              <w:rPr>
                <w:rFonts w:ascii="Arial" w:hAnsi="Arial" w:cs="Arial"/>
                <w:bCs/>
                <w:sz w:val="24"/>
                <w:szCs w:val="24"/>
              </w:rPr>
              <w:t xml:space="preserve"> brauchen andere Impulse als schwächere. Daher empfiehlt es sich, den Lernfortschritt regelmäßig mit diagnostischen Verfahren zu überprüfen. </w:t>
            </w:r>
          </w:p>
        </w:tc>
      </w:tr>
      <w:tr w:rsidR="00505819" w:rsidRPr="00505819" w14:paraId="30578F42" w14:textId="77777777" w:rsidTr="00B43535">
        <w:tblPrEx>
          <w:tblCellMar>
            <w:top w:w="0" w:type="dxa"/>
            <w:bottom w:w="0" w:type="dxa"/>
          </w:tblCellMar>
        </w:tblPrEx>
        <w:trPr>
          <w:trHeight w:val="482"/>
          <w:jc w:val="center"/>
        </w:trPr>
        <w:tc>
          <w:tcPr>
            <w:tcW w:w="2284" w:type="dxa"/>
            <w:shd w:val="clear" w:color="auto" w:fill="E4AA6A"/>
          </w:tcPr>
          <w:p w14:paraId="42681B36" w14:textId="77777777" w:rsidR="00505819" w:rsidRPr="00505819" w:rsidRDefault="00505819" w:rsidP="00505819">
            <w:pPr>
              <w:spacing w:before="120" w:after="120"/>
              <w:rPr>
                <w:rFonts w:ascii="Arial" w:hAnsi="Arial" w:cs="Arial"/>
                <w:b/>
                <w:sz w:val="24"/>
                <w:szCs w:val="24"/>
              </w:rPr>
            </w:pPr>
            <w:r w:rsidRPr="00505819">
              <w:rPr>
                <w:rFonts w:ascii="Arial" w:hAnsi="Arial" w:cs="Arial"/>
                <w:b/>
                <w:sz w:val="24"/>
                <w:szCs w:val="24"/>
              </w:rPr>
              <w:t xml:space="preserve">Förderung der Lesemotivation und Lesekultur </w:t>
            </w:r>
          </w:p>
        </w:tc>
        <w:tc>
          <w:tcPr>
            <w:tcW w:w="7513" w:type="dxa"/>
          </w:tcPr>
          <w:p w14:paraId="2EE8B43F" w14:textId="77777777" w:rsidR="00505819" w:rsidRPr="00505819" w:rsidRDefault="00505819" w:rsidP="00505819">
            <w:pPr>
              <w:spacing w:before="120" w:after="120"/>
              <w:rPr>
                <w:rFonts w:ascii="Arial" w:hAnsi="Arial" w:cs="Arial"/>
                <w:bCs/>
                <w:sz w:val="24"/>
                <w:szCs w:val="24"/>
              </w:rPr>
            </w:pPr>
            <w:r w:rsidRPr="00505819">
              <w:rPr>
                <w:rFonts w:ascii="Arial" w:hAnsi="Arial" w:cs="Arial"/>
                <w:bCs/>
                <w:sz w:val="24"/>
                <w:szCs w:val="24"/>
              </w:rPr>
              <w:t>Kein Konzept wird erfolgreich sein, wenn die Freude am Lesen zu kurz kommt. Sie sollten daher eine Kultur des Lesens schaffen, die positiv besetzt ist. Dazu gehören Lesewettbewerbe, Projekttage rund ums Buch und attraktive Schulbiblio</w:t>
            </w:r>
            <w:r w:rsidRPr="00505819">
              <w:rPr>
                <w:rFonts w:ascii="Arial" w:hAnsi="Arial" w:cs="Arial"/>
                <w:bCs/>
                <w:sz w:val="24"/>
                <w:szCs w:val="24"/>
              </w:rPr>
              <w:softHyphen/>
              <w:t xml:space="preserve">theken oder Leseecken. Auch außerschulische Kooperationen bereichern die Leseförderung – etwa Partnerschaften mit der Stadtbibliothek oder Autorenlesungen an der Schule. </w:t>
            </w:r>
          </w:p>
        </w:tc>
      </w:tr>
    </w:tbl>
    <w:p w14:paraId="556A8E1A" w14:textId="77777777" w:rsidR="00992FF4" w:rsidRPr="00581B4B" w:rsidRDefault="00992FF4" w:rsidP="00581B4B"/>
    <w:sectPr w:rsidR="00992FF4" w:rsidRPr="00581B4B" w:rsidSect="00E36DD3">
      <w:headerReference w:type="default" r:id="rId7"/>
      <w:pgSz w:w="11906" w:h="16838" w:code="9"/>
      <w:pgMar w:top="-56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775E" w14:textId="77777777" w:rsidR="000B7A67" w:rsidRDefault="000B7A67" w:rsidP="002A5D13">
      <w:pPr>
        <w:spacing w:after="0" w:line="240" w:lineRule="auto"/>
      </w:pPr>
      <w:r>
        <w:separator/>
      </w:r>
    </w:p>
  </w:endnote>
  <w:endnote w:type="continuationSeparator" w:id="0">
    <w:p w14:paraId="2B5FFF99" w14:textId="77777777" w:rsidR="000B7A67" w:rsidRDefault="000B7A67" w:rsidP="002A5D13">
      <w:pPr>
        <w:spacing w:after="0" w:line="240" w:lineRule="auto"/>
      </w:pPr>
      <w:r>
        <w:continuationSeparator/>
      </w:r>
    </w:p>
  </w:endnote>
  <w:endnote w:type="continuationNotice" w:id="1">
    <w:p w14:paraId="70EA5536" w14:textId="77777777" w:rsidR="000B7A67" w:rsidRDefault="000B7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8E3A" w14:textId="77777777" w:rsidR="000B7A67" w:rsidRDefault="000B7A67" w:rsidP="002A5D13">
      <w:pPr>
        <w:spacing w:after="0" w:line="240" w:lineRule="auto"/>
      </w:pPr>
      <w:r>
        <w:separator/>
      </w:r>
    </w:p>
  </w:footnote>
  <w:footnote w:type="continuationSeparator" w:id="0">
    <w:p w14:paraId="02DEBD93" w14:textId="77777777" w:rsidR="000B7A67" w:rsidRDefault="000B7A67" w:rsidP="002A5D13">
      <w:pPr>
        <w:spacing w:after="0" w:line="240" w:lineRule="auto"/>
      </w:pPr>
      <w:r>
        <w:continuationSeparator/>
      </w:r>
    </w:p>
  </w:footnote>
  <w:footnote w:type="continuationNotice" w:id="1">
    <w:p w14:paraId="52804FAC" w14:textId="77777777" w:rsidR="000B7A67" w:rsidRDefault="000B7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590"/>
      <w:gridCol w:w="6595"/>
    </w:tblGrid>
    <w:tr w:rsidR="00992FF4" w14:paraId="56918818" w14:textId="77777777" w:rsidTr="00CC6987">
      <w:tc>
        <w:tcPr>
          <w:tcW w:w="1482" w:type="pct"/>
          <w:tcBorders>
            <w:bottom w:val="single" w:sz="4" w:space="0" w:color="auto"/>
          </w:tcBorders>
          <w:shd w:val="clear" w:color="auto" w:fill="D98328"/>
          <w:vAlign w:val="center"/>
        </w:tcPr>
        <w:p w14:paraId="69EE2154" w14:textId="717A9AAB" w:rsidR="00992FF4" w:rsidRPr="00992FF4" w:rsidRDefault="00505819" w:rsidP="00992FF4">
          <w:pPr>
            <w:pStyle w:val="Kopfzeile"/>
            <w:jc w:val="center"/>
            <w:rPr>
              <w:rFonts w:ascii="Interstate Cond" w:hAnsi="Interstate Cond"/>
              <w:b/>
              <w:color w:val="FFFFFF"/>
            </w:rPr>
          </w:pPr>
          <w:r>
            <w:rPr>
              <w:rFonts w:ascii="Interstate Cond" w:hAnsi="Interstate Cond"/>
              <w:b/>
              <w:color w:val="FFFFFF"/>
              <w:sz w:val="32"/>
            </w:rPr>
            <w:t>23</w:t>
          </w:r>
          <w:r w:rsidR="00992FF4" w:rsidRPr="00992FF4">
            <w:rPr>
              <w:rFonts w:ascii="Interstate Cond" w:hAnsi="Interstate Cond"/>
              <w:b/>
              <w:color w:val="FFFFFF"/>
              <w:sz w:val="32"/>
            </w:rPr>
            <w:t xml:space="preserve"> – 2025</w:t>
          </w:r>
        </w:p>
      </w:tc>
      <w:tc>
        <w:tcPr>
          <w:tcW w:w="3518" w:type="pct"/>
          <w:tcBorders>
            <w:bottom w:val="single" w:sz="4" w:space="0" w:color="auto"/>
          </w:tcBorders>
          <w:vAlign w:val="bottom"/>
        </w:tcPr>
        <w:p w14:paraId="6F818328" w14:textId="0ACBEB2F" w:rsidR="00992FF4" w:rsidRPr="00992FF4" w:rsidRDefault="00B43535" w:rsidP="00992FF4">
          <w:pPr>
            <w:pStyle w:val="Kopfzeile"/>
            <w:rPr>
              <w:rFonts w:ascii="Fira Sans Book" w:hAnsi="Fira Sans Book"/>
              <w:bCs/>
              <w:color w:val="000000"/>
              <w:sz w:val="16"/>
            </w:rPr>
          </w:pPr>
          <w:r>
            <w:rPr>
              <w:rFonts w:ascii="Fira Sans Book" w:hAnsi="Fira Sans Book"/>
              <w:noProof/>
              <w:color w:val="000000"/>
              <w:sz w:val="16"/>
            </w:rPr>
            <w:pict w14:anchorId="1C7F1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9pt;height:63.6pt;visibility:visible;mso-wrap-style:square">
                <v:imagedata r:id="rId1" o:title=""/>
              </v:shape>
            </w:pict>
          </w:r>
        </w:p>
      </w:tc>
    </w:tr>
  </w:tbl>
  <w:p w14:paraId="01995688" w14:textId="2E7DE35F" w:rsidR="00D434EB" w:rsidRDefault="00D434EB" w:rsidP="00992FF4">
    <w:pPr>
      <w:spacing w:after="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70475"/>
    <w:multiLevelType w:val="hybridMultilevel"/>
    <w:tmpl w:val="719C0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8479559">
    <w:abstractNumId w:val="10"/>
  </w:num>
  <w:num w:numId="2" w16cid:durableId="1695574210">
    <w:abstractNumId w:val="20"/>
  </w:num>
  <w:num w:numId="3" w16cid:durableId="785778711">
    <w:abstractNumId w:val="22"/>
  </w:num>
  <w:num w:numId="4" w16cid:durableId="2002196983">
    <w:abstractNumId w:val="11"/>
  </w:num>
  <w:num w:numId="5" w16cid:durableId="2066221202">
    <w:abstractNumId w:val="6"/>
  </w:num>
  <w:num w:numId="6" w16cid:durableId="1002851002">
    <w:abstractNumId w:val="8"/>
  </w:num>
  <w:num w:numId="7" w16cid:durableId="1026834761">
    <w:abstractNumId w:val="13"/>
  </w:num>
  <w:num w:numId="8" w16cid:durableId="721448139">
    <w:abstractNumId w:val="12"/>
  </w:num>
  <w:num w:numId="9" w16cid:durableId="1085146157">
    <w:abstractNumId w:val="9"/>
  </w:num>
  <w:num w:numId="10" w16cid:durableId="1907110565">
    <w:abstractNumId w:val="5"/>
  </w:num>
  <w:num w:numId="11" w16cid:durableId="1311591786">
    <w:abstractNumId w:val="21"/>
  </w:num>
  <w:num w:numId="12" w16cid:durableId="2011520305">
    <w:abstractNumId w:val="15"/>
  </w:num>
  <w:num w:numId="13" w16cid:durableId="1671524393">
    <w:abstractNumId w:val="16"/>
  </w:num>
  <w:num w:numId="14" w16cid:durableId="1266110594">
    <w:abstractNumId w:val="14"/>
  </w:num>
  <w:num w:numId="15" w16cid:durableId="391000802">
    <w:abstractNumId w:val="17"/>
  </w:num>
  <w:num w:numId="16" w16cid:durableId="1564825559">
    <w:abstractNumId w:val="18"/>
  </w:num>
  <w:num w:numId="17" w16cid:durableId="1671562194">
    <w:abstractNumId w:val="19"/>
  </w:num>
  <w:num w:numId="18" w16cid:durableId="1565026392">
    <w:abstractNumId w:val="4"/>
  </w:num>
  <w:num w:numId="19" w16cid:durableId="706100261">
    <w:abstractNumId w:val="3"/>
  </w:num>
  <w:num w:numId="20" w16cid:durableId="1304118436">
    <w:abstractNumId w:val="2"/>
  </w:num>
  <w:num w:numId="21" w16cid:durableId="1854493501">
    <w:abstractNumId w:val="1"/>
  </w:num>
  <w:num w:numId="22" w16cid:durableId="1054547288">
    <w:abstractNumId w:val="0"/>
  </w:num>
  <w:num w:numId="23" w16cid:durableId="600575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95CFC"/>
    <w:rsid w:val="000A7188"/>
    <w:rsid w:val="000B50CC"/>
    <w:rsid w:val="000B7A67"/>
    <w:rsid w:val="000C66D4"/>
    <w:rsid w:val="000C6A2D"/>
    <w:rsid w:val="0015409B"/>
    <w:rsid w:val="001B429B"/>
    <w:rsid w:val="001C16AA"/>
    <w:rsid w:val="001C43FF"/>
    <w:rsid w:val="001E1CCD"/>
    <w:rsid w:val="00205D0C"/>
    <w:rsid w:val="002154FF"/>
    <w:rsid w:val="0027096C"/>
    <w:rsid w:val="002766CF"/>
    <w:rsid w:val="0028515F"/>
    <w:rsid w:val="002A5D13"/>
    <w:rsid w:val="002B029B"/>
    <w:rsid w:val="002B4419"/>
    <w:rsid w:val="002D45E4"/>
    <w:rsid w:val="002E4378"/>
    <w:rsid w:val="00345B07"/>
    <w:rsid w:val="0035263B"/>
    <w:rsid w:val="003676E3"/>
    <w:rsid w:val="00380EF0"/>
    <w:rsid w:val="003C5CFF"/>
    <w:rsid w:val="003E3400"/>
    <w:rsid w:val="004331C2"/>
    <w:rsid w:val="00433F51"/>
    <w:rsid w:val="004639C0"/>
    <w:rsid w:val="004955F6"/>
    <w:rsid w:val="004A47F9"/>
    <w:rsid w:val="004C2396"/>
    <w:rsid w:val="004D5592"/>
    <w:rsid w:val="00505819"/>
    <w:rsid w:val="0050689E"/>
    <w:rsid w:val="00540062"/>
    <w:rsid w:val="00551B88"/>
    <w:rsid w:val="00581B4B"/>
    <w:rsid w:val="00587D31"/>
    <w:rsid w:val="005B00BE"/>
    <w:rsid w:val="005B4234"/>
    <w:rsid w:val="00606A1D"/>
    <w:rsid w:val="006111CC"/>
    <w:rsid w:val="00614D0A"/>
    <w:rsid w:val="00653E72"/>
    <w:rsid w:val="00661981"/>
    <w:rsid w:val="00664661"/>
    <w:rsid w:val="0067731F"/>
    <w:rsid w:val="006A5CFE"/>
    <w:rsid w:val="006E18EF"/>
    <w:rsid w:val="006F3D97"/>
    <w:rsid w:val="00702EFF"/>
    <w:rsid w:val="00702F72"/>
    <w:rsid w:val="007721E7"/>
    <w:rsid w:val="007A7CA7"/>
    <w:rsid w:val="007B0290"/>
    <w:rsid w:val="007C0AE5"/>
    <w:rsid w:val="007E1A2E"/>
    <w:rsid w:val="00821B22"/>
    <w:rsid w:val="00841FA8"/>
    <w:rsid w:val="008522CE"/>
    <w:rsid w:val="00852BFB"/>
    <w:rsid w:val="008627AA"/>
    <w:rsid w:val="008633AC"/>
    <w:rsid w:val="00887070"/>
    <w:rsid w:val="00897F98"/>
    <w:rsid w:val="008B1F83"/>
    <w:rsid w:val="008C0D29"/>
    <w:rsid w:val="008E62B1"/>
    <w:rsid w:val="00937B0B"/>
    <w:rsid w:val="00942E56"/>
    <w:rsid w:val="009433D9"/>
    <w:rsid w:val="009503FB"/>
    <w:rsid w:val="00983536"/>
    <w:rsid w:val="00992FF4"/>
    <w:rsid w:val="009B721F"/>
    <w:rsid w:val="009E6591"/>
    <w:rsid w:val="00A06C64"/>
    <w:rsid w:val="00A438A7"/>
    <w:rsid w:val="00AC7582"/>
    <w:rsid w:val="00AF17D9"/>
    <w:rsid w:val="00B01FFE"/>
    <w:rsid w:val="00B43535"/>
    <w:rsid w:val="00B560B1"/>
    <w:rsid w:val="00B5703F"/>
    <w:rsid w:val="00B707AF"/>
    <w:rsid w:val="00B75F0F"/>
    <w:rsid w:val="00B81586"/>
    <w:rsid w:val="00B87D52"/>
    <w:rsid w:val="00BD49AA"/>
    <w:rsid w:val="00BD71E9"/>
    <w:rsid w:val="00BE0E26"/>
    <w:rsid w:val="00C310AF"/>
    <w:rsid w:val="00C5329F"/>
    <w:rsid w:val="00C73E1A"/>
    <w:rsid w:val="00C877B4"/>
    <w:rsid w:val="00C9289F"/>
    <w:rsid w:val="00CC38C8"/>
    <w:rsid w:val="00CE6389"/>
    <w:rsid w:val="00D25DD7"/>
    <w:rsid w:val="00D434EB"/>
    <w:rsid w:val="00D54579"/>
    <w:rsid w:val="00D56265"/>
    <w:rsid w:val="00D9199A"/>
    <w:rsid w:val="00DB32C7"/>
    <w:rsid w:val="00DE776A"/>
    <w:rsid w:val="00E028D9"/>
    <w:rsid w:val="00E2265E"/>
    <w:rsid w:val="00E36DD3"/>
    <w:rsid w:val="00E37880"/>
    <w:rsid w:val="00E734A2"/>
    <w:rsid w:val="00E74AD6"/>
    <w:rsid w:val="00F20663"/>
    <w:rsid w:val="00F2380D"/>
    <w:rsid w:val="00FA19D7"/>
    <w:rsid w:val="00FC278E"/>
    <w:rsid w:val="00FE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5662"/>
  <w15:chartTrackingRefBased/>
  <w15:docId w15:val="{F00846FF-B0EC-470D-BEC6-7FCCB42D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styleId="berarbeitung">
    <w:name w:val="Revision"/>
    <w:hidden/>
    <w:uiPriority w:val="99"/>
    <w:semiHidden/>
    <w:rsid w:val="00897F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2013-12-09T11:30:00Z</cp:lastPrinted>
  <dcterms:created xsi:type="dcterms:W3CDTF">2025-10-16T11:06:00Z</dcterms:created>
  <dcterms:modified xsi:type="dcterms:W3CDTF">2025-10-16T11:06:00Z</dcterms:modified>
</cp:coreProperties>
</file>