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AE0D63D" w14:textId="7B1E1A45" w:rsidR="00C718D4" w:rsidRDefault="007A7CA7" w:rsidP="00C718D4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8"/>
        <w:gridCol w:w="4989"/>
      </w:tblGrid>
      <w:tr w:rsidR="00C718D4" w:rsidRPr="00C718D4" w14:paraId="59FE10D6" w14:textId="77777777" w:rsidTr="00C718D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9977" w:type="dxa"/>
            <w:gridSpan w:val="2"/>
            <w:shd w:val="clear" w:color="auto" w:fill="0790CF"/>
          </w:tcPr>
          <w:p w14:paraId="451F39ED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718D4">
              <w:rPr>
                <w:rFonts w:ascii="Arial" w:hAnsi="Arial" w:cs="Arial"/>
                <w:b/>
                <w:sz w:val="28"/>
                <w:szCs w:val="28"/>
              </w:rPr>
              <w:t xml:space="preserve">Übersicht: 10 Möglichkeiten zur Nutzung von ChatGPT im Unterricht </w:t>
            </w:r>
          </w:p>
        </w:tc>
      </w:tr>
      <w:tr w:rsidR="00C718D4" w:rsidRPr="00C718D4" w14:paraId="2EAF3B7D" w14:textId="77777777" w:rsidTr="00C718D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988" w:type="dxa"/>
            <w:shd w:val="clear" w:color="auto" w:fill="E4AA6A"/>
          </w:tcPr>
          <w:p w14:paraId="74721B2D" w14:textId="1E55DA23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Begleitung von Sicherungsphasen </w:t>
            </w:r>
          </w:p>
        </w:tc>
        <w:tc>
          <w:tcPr>
            <w:tcW w:w="4988" w:type="dxa"/>
            <w:shd w:val="clear" w:color="auto" w:fill="E4AA6A"/>
          </w:tcPr>
          <w:p w14:paraId="5889848F" w14:textId="3319CF7B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Planen von Unterrichtsstunden </w:t>
            </w:r>
          </w:p>
        </w:tc>
      </w:tr>
      <w:tr w:rsidR="00C718D4" w:rsidRPr="00C718D4" w14:paraId="2ADEE41C" w14:textId="77777777" w:rsidTr="00C718D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988" w:type="dxa"/>
          </w:tcPr>
          <w:p w14:paraId="53A9065F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Lassen Sie Ihre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zur Ergebnissicherung und Festigung des Lernstoffs vo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>raussagen, was ChatGPT auf von Ihnen formulierte Fragestellungen antwor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>ten könnte. Anschließend prüfen Sie die Voraussagungen, fassen Erlerntes zusammen, vertiefen damit den Lernstoff und schaffen methodische Ab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wechslung. </w:t>
            </w:r>
          </w:p>
        </w:tc>
        <w:tc>
          <w:tcPr>
            <w:tcW w:w="4988" w:type="dxa"/>
          </w:tcPr>
          <w:p w14:paraId="6EC8DD4E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>Aufgrund der stetigen Weiterentwicklung des Chatbots können Sie sich mitt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>lerweile Unterrichtsstunden bzw. -vorschläge und sogar ganze Unterrichts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einheiten bzw. -reihen sowie Lernspiele planen lassen. Je gezielter Sie hier Ihre Prompts formulieren (Inhalt, Zeit, Methode, Schülerklientel usw.), desto besser sind die Ergebnisse. </w:t>
            </w:r>
          </w:p>
        </w:tc>
      </w:tr>
      <w:tr w:rsidR="00C718D4" w:rsidRPr="00C718D4" w14:paraId="5A4678F9" w14:textId="77777777" w:rsidTr="00C718D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988" w:type="dxa"/>
            <w:shd w:val="clear" w:color="auto" w:fill="E4AA6A"/>
          </w:tcPr>
          <w:p w14:paraId="111720E6" w14:textId="01D7CFE2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ChatGPT als Diskussionspartner </w:t>
            </w:r>
          </w:p>
        </w:tc>
        <w:tc>
          <w:tcPr>
            <w:tcW w:w="4988" w:type="dxa"/>
            <w:shd w:val="clear" w:color="auto" w:fill="E4AA6A"/>
          </w:tcPr>
          <w:p w14:paraId="3F55D12D" w14:textId="05DD43F9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ChatGPT als Tutor/Coach </w:t>
            </w:r>
          </w:p>
        </w:tc>
      </w:tr>
      <w:tr w:rsidR="00C718D4" w:rsidRPr="00C718D4" w14:paraId="173869E4" w14:textId="77777777" w:rsidTr="00C718D4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988" w:type="dxa"/>
          </w:tcPr>
          <w:p w14:paraId="4A6FEF5E" w14:textId="7C8E111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Lassen Sie Ihre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in Einzel-, Paar- oder Gruppenarbeit mit dem Chatbot debattieren, indem diese eine Argumentationsseite und der Chatbot die andere einnehmen. Dies hat u. a. den Vorteil, dass Ihre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ihre Diskutier-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und Debattierkompetenzen in einem effektiven Lernsetting aufbauen und stärken. Des Weiteren werden die Diskussionen aufgrund der verfassten Prompts und generierten Antworten stets schriftlich festgehalten. </w:t>
            </w:r>
          </w:p>
        </w:tc>
        <w:tc>
          <w:tcPr>
            <w:tcW w:w="4988" w:type="dxa"/>
          </w:tcPr>
          <w:p w14:paraId="58A04308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In Lernsettings, in denen Ihre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selbst organisiert lernen bzw. arbeiten sol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len, kann der Chatbot als Berater fungieren. Dabei sollten Sie darauf achten, dass die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diesen in einem kontrollierbaren Rahmen nutzen, um nicht gleich sämtliche Lösungen anzufragen. Dementsprechend dürfen die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nur Geräte verwenden, die Sie als Lehrkraft im Blick haben. Dafür eignen sich z. B. Lern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inseln, die mit einer geringen Anzahl an Geräten ausgestattet sind. </w:t>
            </w:r>
          </w:p>
        </w:tc>
      </w:tr>
      <w:tr w:rsidR="00C718D4" w:rsidRPr="00C718D4" w14:paraId="55035984" w14:textId="77777777" w:rsidTr="00C718D4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988" w:type="dxa"/>
            <w:shd w:val="clear" w:color="auto" w:fill="E4AA6A"/>
          </w:tcPr>
          <w:p w14:paraId="74DFA359" w14:textId="02C3437F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Erstellung von binnendifferenzierten Aufgaben </w:t>
            </w:r>
          </w:p>
        </w:tc>
        <w:tc>
          <w:tcPr>
            <w:tcW w:w="4988" w:type="dxa"/>
            <w:shd w:val="clear" w:color="auto" w:fill="E4AA6A"/>
          </w:tcPr>
          <w:p w14:paraId="428A76FB" w14:textId="299D24DF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Generierung von Diskussionsfragen </w:t>
            </w:r>
          </w:p>
        </w:tc>
      </w:tr>
      <w:tr w:rsidR="00C718D4" w:rsidRPr="00C718D4" w14:paraId="4163FF28" w14:textId="77777777" w:rsidTr="00C718D4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988" w:type="dxa"/>
          </w:tcPr>
          <w:p w14:paraId="2BCDCBE0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>Mithilfe des Chatbots können Sie bzw. Ihre Lehrkräfte bewährte Aufgaben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stellungen vereinfachter oder komplexer formulieren lassen, um Ihren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Arbeitsaufträge in verschiedenen Schwierigkeitsstufen anzubieten. </w:t>
            </w:r>
          </w:p>
        </w:tc>
        <w:tc>
          <w:tcPr>
            <w:tcW w:w="4988" w:type="dxa"/>
          </w:tcPr>
          <w:p w14:paraId="246492E4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Für die Anregung Ihrer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zum kritischen Denken und zur tieferen Analyse zu einem Thema sind Diskussionen innerhalb des Plenums unerlässlich. Um diese zu erleichtern oder ins Rollen zu bringen, können Sie mit ChatGPT Dis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kussionsfragen kreieren bzw. von Ihren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erstellen lassen. </w:t>
            </w:r>
          </w:p>
        </w:tc>
      </w:tr>
      <w:tr w:rsidR="00C718D4" w:rsidRPr="00C718D4" w14:paraId="63FB1CC2" w14:textId="77777777" w:rsidTr="00C718D4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988" w:type="dxa"/>
            <w:shd w:val="clear" w:color="auto" w:fill="E4AA6A"/>
          </w:tcPr>
          <w:p w14:paraId="2334C7DE" w14:textId="1BB3AAF6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Vorschau von Lösungsansätzen </w:t>
            </w:r>
          </w:p>
        </w:tc>
        <w:tc>
          <w:tcPr>
            <w:tcW w:w="4988" w:type="dxa"/>
            <w:shd w:val="clear" w:color="auto" w:fill="E4AA6A"/>
          </w:tcPr>
          <w:p w14:paraId="3AE450C3" w14:textId="1CFEFBD0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Zusammenfassen von Texten </w:t>
            </w:r>
          </w:p>
        </w:tc>
      </w:tr>
      <w:tr w:rsidR="00C718D4" w:rsidRPr="00C718D4" w14:paraId="3A4D03AE" w14:textId="77777777" w:rsidTr="00C718D4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988" w:type="dxa"/>
          </w:tcPr>
          <w:p w14:paraId="29DDB0C5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Zur Analyse und Prüfung Ihrer eigenen Aufgabenstellungen können Sie den Chatbot erwartbare Antworten bzw. Lösungen Ihrer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erstellen lassen. Insbesondere, wenn Sie bzw. Ihre Lehrkräfte häufig das Unterrichtsgespräch als didaktische Methode verwenden, kann Ihnen die Vorschau wertvolle An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haltspunkte liefern, sodass Sie in den Gesprächen auf alle Eventualitäten vorbereitet sind. </w:t>
            </w:r>
          </w:p>
        </w:tc>
        <w:tc>
          <w:tcPr>
            <w:tcW w:w="4988" w:type="dxa"/>
          </w:tcPr>
          <w:p w14:paraId="1BBCEFEC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In vielen Situationen, bspw., wenn es mal schnell gehen muss, sollten Sie es Ihren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ermöglichen, dass diese per Prompt-Eingabe ein bestimmtes Kapitel eines Werks oder längeren Textes resümieren lassen. Selbst das Er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fassen von Texten aus Büchern ist mittels der Kamera eines Smartphones in Sekundenschnelle erledigt. Anschließend kann der gescannte Textabschnitt in den Chatbot hineinkopiert und zusammengefasst werden. </w:t>
            </w:r>
          </w:p>
        </w:tc>
      </w:tr>
      <w:tr w:rsidR="00C718D4" w:rsidRPr="00C718D4" w14:paraId="70541D6A" w14:textId="77777777" w:rsidTr="00C718D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988" w:type="dxa"/>
            <w:shd w:val="clear" w:color="auto" w:fill="E4AA6A"/>
          </w:tcPr>
          <w:p w14:paraId="3B62A60D" w14:textId="79E68875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Förderung von Bewertungskompetenzen </w:t>
            </w:r>
          </w:p>
        </w:tc>
        <w:tc>
          <w:tcPr>
            <w:tcW w:w="4988" w:type="dxa"/>
            <w:shd w:val="clear" w:color="auto" w:fill="E4AA6A"/>
          </w:tcPr>
          <w:p w14:paraId="5289176A" w14:textId="1DD510EA" w:rsidR="00C718D4" w:rsidRPr="00C718D4" w:rsidRDefault="00C718D4" w:rsidP="00C718D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718D4">
              <w:rPr>
                <w:rFonts w:ascii="Arial" w:hAnsi="Arial" w:cs="Arial"/>
                <w:b/>
                <w:sz w:val="24"/>
                <w:szCs w:val="24"/>
              </w:rPr>
              <w:t xml:space="preserve">Recherche von Informationen </w:t>
            </w:r>
          </w:p>
        </w:tc>
      </w:tr>
      <w:tr w:rsidR="00C718D4" w:rsidRPr="00C718D4" w14:paraId="689CA7B3" w14:textId="77777777" w:rsidTr="00C718D4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4988" w:type="dxa"/>
          </w:tcPr>
          <w:p w14:paraId="1E7F535A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Um das Verständnis von Bewertungskriterien, die Sie als Lehrkraft festlegen, zu fördern, können Sie Ihre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ChatGPT-Produkte mit dem Erwartungshori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zont bewerten lassen. Dazu löst der Chatbot eine Ihrer Aufgabenstellungen, bspw.: „Schreibe eine Erörterung zum Thema ‚KI im Unterricht‘.“ Das Ergebnis wird anschließend von Ihren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mit dem von Ihnen kreierten zugehörigen Erwartungshorizont bewertet. Einerseits erhalten Ihre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dadurch wertvolle Rückschlüsse, welche Anforderungen an ein erfolgreiches Endprodukt gestellt werden, andererseits befassen sie sich parallel mit einem Unterrichtsthema und setzen sich kritisch mit den Ergebnissen des Chatbots auseinander. </w:t>
            </w:r>
          </w:p>
        </w:tc>
        <w:tc>
          <w:tcPr>
            <w:tcW w:w="4988" w:type="dxa"/>
          </w:tcPr>
          <w:p w14:paraId="3A8DAFC3" w14:textId="77777777" w:rsidR="00C718D4" w:rsidRPr="00C718D4" w:rsidRDefault="00C718D4" w:rsidP="00C718D4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Lassen Sie Ihre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ChatGPT als Quelle für zusätzliche Eigenrecherchen nut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>zen. Ein enormer Vorteil des Chatbots ist, dass er Antworten, je nach Schü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>lerklientel, einfach bzw. komplex formulieren kann. Dementsprechend kön</w:t>
            </w:r>
            <w:r w:rsidRPr="00C718D4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nen Sie ihn auch zur Binnendifferenzierung nutzen. Auch die Bearbeitung von weiterführenden Arbeitsaufträgen bzw. Fragen (Sprintaufgaben) von interessierten oder schnelleren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ist leicht umsetzbar. Die Ergebnisse und insbesondere die Prompts der </w:t>
            </w:r>
            <w:proofErr w:type="spellStart"/>
            <w:r w:rsidRPr="00C718D4">
              <w:rPr>
                <w:rFonts w:ascii="Arial" w:hAnsi="Arial" w:cs="Arial"/>
                <w:bCs/>
                <w:sz w:val="24"/>
                <w:szCs w:val="24"/>
              </w:rPr>
              <w:t>SuS</w:t>
            </w:r>
            <w:proofErr w:type="spellEnd"/>
            <w:r w:rsidRPr="00C718D4">
              <w:rPr>
                <w:rFonts w:ascii="Arial" w:hAnsi="Arial" w:cs="Arial"/>
                <w:bCs/>
                <w:sz w:val="24"/>
                <w:szCs w:val="24"/>
              </w:rPr>
              <w:t xml:space="preserve"> können im Anschluss individuell und/ oder kreativ präsentiert und ins Plenum getragen werden. </w:t>
            </w:r>
          </w:p>
        </w:tc>
      </w:tr>
    </w:tbl>
    <w:p w14:paraId="5E6E450E" w14:textId="77777777" w:rsidR="00C718D4" w:rsidRPr="00581B4B" w:rsidRDefault="00C718D4" w:rsidP="00581B4B"/>
    <w:sectPr w:rsidR="00C718D4" w:rsidRPr="00581B4B" w:rsidSect="00C718D4">
      <w:headerReference w:type="default" r:id="rId7"/>
      <w:pgSz w:w="11906" w:h="16838" w:code="9"/>
      <w:pgMar w:top="-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26A76E1C" w:rsidR="00095CFC" w:rsidRPr="00AD651E" w:rsidRDefault="00652727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02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C718D4"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154063603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9"/>
  </w:num>
  <w:num w:numId="2" w16cid:durableId="1667436405">
    <w:abstractNumId w:val="19"/>
  </w:num>
  <w:num w:numId="3" w16cid:durableId="1489901206">
    <w:abstractNumId w:val="21"/>
  </w:num>
  <w:num w:numId="4" w16cid:durableId="347487071">
    <w:abstractNumId w:val="10"/>
  </w:num>
  <w:num w:numId="5" w16cid:durableId="1797259768">
    <w:abstractNumId w:val="6"/>
  </w:num>
  <w:num w:numId="6" w16cid:durableId="382026321">
    <w:abstractNumId w:val="7"/>
  </w:num>
  <w:num w:numId="7" w16cid:durableId="1689794066">
    <w:abstractNumId w:val="12"/>
  </w:num>
  <w:num w:numId="8" w16cid:durableId="1879587828">
    <w:abstractNumId w:val="11"/>
  </w:num>
  <w:num w:numId="9" w16cid:durableId="1300964876">
    <w:abstractNumId w:val="8"/>
  </w:num>
  <w:num w:numId="10" w16cid:durableId="595290535">
    <w:abstractNumId w:val="5"/>
  </w:num>
  <w:num w:numId="11" w16cid:durableId="97411375">
    <w:abstractNumId w:val="20"/>
  </w:num>
  <w:num w:numId="12" w16cid:durableId="890846888">
    <w:abstractNumId w:val="14"/>
  </w:num>
  <w:num w:numId="13" w16cid:durableId="924460106">
    <w:abstractNumId w:val="15"/>
  </w:num>
  <w:num w:numId="14" w16cid:durableId="1048651771">
    <w:abstractNumId w:val="13"/>
  </w:num>
  <w:num w:numId="15" w16cid:durableId="1578401136">
    <w:abstractNumId w:val="16"/>
  </w:num>
  <w:num w:numId="16" w16cid:durableId="1207185062">
    <w:abstractNumId w:val="17"/>
  </w:num>
  <w:num w:numId="17" w16cid:durableId="1417631617">
    <w:abstractNumId w:val="18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17AFB"/>
    <w:rsid w:val="0015409B"/>
    <w:rsid w:val="001714D4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81B16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18D4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2025-01-14T12:03:00Z</dcterms:created>
  <dcterms:modified xsi:type="dcterms:W3CDTF">2025-01-14T12:03:00Z</dcterms:modified>
</cp:coreProperties>
</file>