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626E1178" w14:textId="159832D7" w:rsidR="00450702" w:rsidRPr="00450702" w:rsidRDefault="006E18EF" w:rsidP="00450702">
      <w:pPr>
        <w:tabs>
          <w:tab w:val="left" w:pos="2430"/>
        </w:tabs>
      </w:pPr>
      <w:r>
        <w:tab/>
      </w:r>
    </w:p>
    <w:p w14:paraId="3F911538" w14:textId="3EA4C956" w:rsidR="00450702" w:rsidRDefault="00450702" w:rsidP="00450702">
      <w:pPr>
        <w:pStyle w:val="07ZblauneuUF3"/>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928"/>
      </w:tblGrid>
      <w:tr w:rsidR="00450702" w:rsidRPr="00450702" w14:paraId="47FCD02C" w14:textId="77777777" w:rsidTr="00450702">
        <w:trPr>
          <w:jc w:val="center"/>
        </w:trPr>
        <w:tc>
          <w:tcPr>
            <w:tcW w:w="9493" w:type="dxa"/>
            <w:gridSpan w:val="2"/>
            <w:shd w:val="clear" w:color="auto" w:fill="0790CF"/>
          </w:tcPr>
          <w:p w14:paraId="3BE7D5AB" w14:textId="158BE24D" w:rsidR="00450702" w:rsidRPr="00450702" w:rsidRDefault="00450702" w:rsidP="00450702">
            <w:pPr>
              <w:spacing w:before="120" w:after="120"/>
              <w:rPr>
                <w:rFonts w:ascii="Arial" w:hAnsi="Arial" w:cs="Arial"/>
                <w:b/>
                <w:bCs/>
                <w:sz w:val="28"/>
                <w:szCs w:val="28"/>
              </w:rPr>
            </w:pPr>
            <w:r w:rsidRPr="00450702">
              <w:rPr>
                <w:rFonts w:ascii="Arial" w:hAnsi="Arial" w:cs="Arial"/>
                <w:b/>
                <w:bCs/>
                <w:sz w:val="28"/>
                <w:szCs w:val="28"/>
              </w:rPr>
              <w:t>Übersicht: Vorgaben nach dem Nachweisgesetz (</w:t>
            </w:r>
            <w:proofErr w:type="spellStart"/>
            <w:r w:rsidRPr="00450702">
              <w:rPr>
                <w:rFonts w:ascii="Arial" w:hAnsi="Arial" w:cs="Arial"/>
                <w:b/>
                <w:bCs/>
                <w:sz w:val="28"/>
                <w:szCs w:val="28"/>
              </w:rPr>
              <w:t>NachweisG</w:t>
            </w:r>
            <w:proofErr w:type="spellEnd"/>
            <w:r w:rsidRPr="00450702">
              <w:rPr>
                <w:rFonts w:ascii="Arial" w:hAnsi="Arial" w:cs="Arial"/>
                <w:b/>
                <w:bCs/>
                <w:sz w:val="28"/>
                <w:szCs w:val="28"/>
              </w:rPr>
              <w:t>)</w:t>
            </w:r>
          </w:p>
        </w:tc>
      </w:tr>
      <w:tr w:rsidR="00450702" w:rsidRPr="00450702" w14:paraId="6F029534" w14:textId="77777777" w:rsidTr="00450702">
        <w:trPr>
          <w:jc w:val="center"/>
        </w:trPr>
        <w:tc>
          <w:tcPr>
            <w:tcW w:w="2565" w:type="dxa"/>
            <w:shd w:val="clear" w:color="auto" w:fill="E4AA6A"/>
          </w:tcPr>
          <w:p w14:paraId="48CAF3A9" w14:textId="77777777" w:rsidR="00450702" w:rsidRPr="00450702" w:rsidRDefault="00450702" w:rsidP="00450702">
            <w:pPr>
              <w:spacing w:before="120" w:after="120"/>
              <w:rPr>
                <w:rFonts w:ascii="Arial" w:eastAsiaTheme="minorHAnsi" w:hAnsi="Arial" w:cs="Arial"/>
                <w:b/>
                <w:bCs/>
                <w:kern w:val="2"/>
                <w:sz w:val="24"/>
                <w14:ligatures w14:val="standardContextual"/>
              </w:rPr>
            </w:pPr>
            <w:r w:rsidRPr="00450702">
              <w:rPr>
                <w:rFonts w:ascii="Arial" w:eastAsiaTheme="minorHAnsi" w:hAnsi="Arial" w:cs="Arial"/>
                <w:b/>
                <w:bCs/>
                <w:kern w:val="2"/>
                <w:sz w:val="24"/>
                <w14:ligatures w14:val="standardContextual"/>
              </w:rPr>
              <w:t>Arbeitsbedingung</w:t>
            </w:r>
          </w:p>
        </w:tc>
        <w:tc>
          <w:tcPr>
            <w:tcW w:w="6928" w:type="dxa"/>
            <w:shd w:val="clear" w:color="auto" w:fill="E4AA6A"/>
          </w:tcPr>
          <w:p w14:paraId="2CF285C5" w14:textId="77777777" w:rsidR="00450702" w:rsidRPr="00450702" w:rsidRDefault="00450702" w:rsidP="00450702">
            <w:pPr>
              <w:spacing w:before="120" w:after="120"/>
              <w:rPr>
                <w:rFonts w:ascii="Arial" w:eastAsiaTheme="minorHAnsi" w:hAnsi="Arial" w:cs="Arial"/>
                <w:b/>
                <w:bCs/>
                <w:kern w:val="2"/>
                <w:sz w:val="24"/>
                <w14:ligatures w14:val="standardContextual"/>
              </w:rPr>
            </w:pPr>
            <w:r w:rsidRPr="00450702">
              <w:rPr>
                <w:rFonts w:ascii="Arial" w:eastAsiaTheme="minorHAnsi" w:hAnsi="Arial" w:cs="Arial"/>
                <w:b/>
                <w:bCs/>
                <w:kern w:val="2"/>
                <w:sz w:val="24"/>
                <w14:ligatures w14:val="standardContextual"/>
              </w:rPr>
              <w:t>Inhalt</w:t>
            </w:r>
          </w:p>
        </w:tc>
      </w:tr>
      <w:tr w:rsidR="00450702" w:rsidRPr="00450702" w14:paraId="339113E6" w14:textId="77777777" w:rsidTr="00450702">
        <w:trPr>
          <w:jc w:val="center"/>
        </w:trPr>
        <w:tc>
          <w:tcPr>
            <w:tcW w:w="2565" w:type="dxa"/>
            <w:shd w:val="clear" w:color="auto" w:fill="auto"/>
          </w:tcPr>
          <w:p w14:paraId="5122E666"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Enddatum des </w:t>
            </w:r>
            <w:r w:rsidRPr="00450702">
              <w:rPr>
                <w:rFonts w:ascii="Arial" w:eastAsiaTheme="minorHAnsi" w:hAnsi="Arial" w:cs="Arial"/>
                <w:kern w:val="2"/>
                <w:sz w:val="24"/>
                <w14:ligatures w14:val="standardContextual"/>
              </w:rPr>
              <w:br/>
              <w:t>Arbeitsverhältnisses</w:t>
            </w:r>
          </w:p>
        </w:tc>
        <w:tc>
          <w:tcPr>
            <w:tcW w:w="6928" w:type="dxa"/>
            <w:shd w:val="clear" w:color="auto" w:fill="auto"/>
          </w:tcPr>
          <w:p w14:paraId="42EDB04B"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Dies betrifft alle befristeten Arbeitsverhältnisse, was besonders bei Befristungen von Lehrkräften in der Praxis eine Rolle spielt.</w:t>
            </w:r>
          </w:p>
        </w:tc>
      </w:tr>
      <w:tr w:rsidR="00450702" w:rsidRPr="00450702" w14:paraId="38A721B4" w14:textId="77777777" w:rsidTr="00450702">
        <w:trPr>
          <w:jc w:val="center"/>
        </w:trPr>
        <w:tc>
          <w:tcPr>
            <w:tcW w:w="2565" w:type="dxa"/>
            <w:shd w:val="clear" w:color="auto" w:fill="auto"/>
          </w:tcPr>
          <w:p w14:paraId="5FB5328C"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Wahl des </w:t>
            </w:r>
            <w:r w:rsidRPr="00450702">
              <w:rPr>
                <w:rFonts w:ascii="Arial" w:eastAsiaTheme="minorHAnsi" w:hAnsi="Arial" w:cs="Arial"/>
                <w:kern w:val="2"/>
                <w:sz w:val="24"/>
                <w14:ligatures w14:val="standardContextual"/>
              </w:rPr>
              <w:br/>
              <w:t>Arbeitsorts</w:t>
            </w:r>
          </w:p>
        </w:tc>
        <w:tc>
          <w:tcPr>
            <w:tcW w:w="6928" w:type="dxa"/>
            <w:shd w:val="clear" w:color="auto" w:fill="auto"/>
          </w:tcPr>
          <w:p w14:paraId="45611673"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Wird auch Homeoffice angeboten, wie z. B. die Erledigung von Schreibarbeiten des Sekretariats, dann muss dies schriftlich niedergelegt werden. </w:t>
            </w:r>
          </w:p>
        </w:tc>
      </w:tr>
      <w:tr w:rsidR="00450702" w:rsidRPr="00450702" w14:paraId="7808F3E1" w14:textId="77777777" w:rsidTr="00450702">
        <w:trPr>
          <w:jc w:val="center"/>
        </w:trPr>
        <w:tc>
          <w:tcPr>
            <w:tcW w:w="2565" w:type="dxa"/>
            <w:shd w:val="clear" w:color="auto" w:fill="auto"/>
          </w:tcPr>
          <w:p w14:paraId="7EC4CDC1"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Probezeit</w:t>
            </w:r>
          </w:p>
        </w:tc>
        <w:tc>
          <w:tcPr>
            <w:tcW w:w="6928" w:type="dxa"/>
            <w:shd w:val="clear" w:color="auto" w:fill="auto"/>
          </w:tcPr>
          <w:p w14:paraId="5F165D5F"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Wird eine Probezeit vereinbart, muss die Dauer der Probezeit festgelegt werden.</w:t>
            </w:r>
          </w:p>
        </w:tc>
      </w:tr>
      <w:tr w:rsidR="00450702" w:rsidRPr="00450702" w14:paraId="51D66047" w14:textId="77777777" w:rsidTr="00450702">
        <w:trPr>
          <w:jc w:val="center"/>
        </w:trPr>
        <w:tc>
          <w:tcPr>
            <w:tcW w:w="2565" w:type="dxa"/>
            <w:shd w:val="clear" w:color="auto" w:fill="auto"/>
          </w:tcPr>
          <w:p w14:paraId="0A80EDEF"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Arbeitsentgelt</w:t>
            </w:r>
          </w:p>
        </w:tc>
        <w:tc>
          <w:tcPr>
            <w:tcW w:w="6928" w:type="dxa"/>
            <w:shd w:val="clear" w:color="auto" w:fill="auto"/>
          </w:tcPr>
          <w:p w14:paraId="0F34B295"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Die Zusammensetzung und die Höhe des monatlichen Arbeitsentgelts, Überstundenvergütung, Zuschläge, Zulagen, Prämien und Sonderzahlungen sind getrennt anzugeben. </w:t>
            </w:r>
          </w:p>
          <w:p w14:paraId="73B3BFEA"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Des Weiteren </w:t>
            </w:r>
            <w:proofErr w:type="gramStart"/>
            <w:r w:rsidRPr="00450702">
              <w:rPr>
                <w:rFonts w:ascii="Arial" w:eastAsiaTheme="minorHAnsi" w:hAnsi="Arial" w:cs="Arial"/>
                <w:kern w:val="2"/>
                <w:sz w:val="24"/>
                <w14:ligatures w14:val="standardContextual"/>
              </w:rPr>
              <w:t>ist</w:t>
            </w:r>
            <w:proofErr w:type="gramEnd"/>
            <w:r w:rsidRPr="00450702">
              <w:rPr>
                <w:rFonts w:ascii="Arial" w:eastAsiaTheme="minorHAnsi" w:hAnsi="Arial" w:cs="Arial"/>
                <w:kern w:val="2"/>
                <w:sz w:val="24"/>
                <w14:ligatures w14:val="standardContextual"/>
              </w:rPr>
              <w:t xml:space="preserve"> die Fälligkeit und die Art der Auszahlung (z. B. Überweisung) niederzulegen.</w:t>
            </w:r>
          </w:p>
        </w:tc>
      </w:tr>
      <w:tr w:rsidR="00450702" w:rsidRPr="00450702" w14:paraId="4BA4C49C" w14:textId="77777777" w:rsidTr="00450702">
        <w:trPr>
          <w:jc w:val="center"/>
        </w:trPr>
        <w:tc>
          <w:tcPr>
            <w:tcW w:w="2565" w:type="dxa"/>
            <w:shd w:val="clear" w:color="auto" w:fill="auto"/>
          </w:tcPr>
          <w:p w14:paraId="28386FC4"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Überstunden</w:t>
            </w:r>
          </w:p>
        </w:tc>
        <w:tc>
          <w:tcPr>
            <w:tcW w:w="6928" w:type="dxa"/>
            <w:shd w:val="clear" w:color="auto" w:fill="auto"/>
          </w:tcPr>
          <w:p w14:paraId="1824823B"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Die Möglichkeit der Anordnung und die Voraussetzungen dafür sind festzulegen.</w:t>
            </w:r>
          </w:p>
        </w:tc>
      </w:tr>
      <w:tr w:rsidR="00450702" w:rsidRPr="00450702" w14:paraId="3514DB57" w14:textId="77777777" w:rsidTr="00450702">
        <w:trPr>
          <w:jc w:val="center"/>
        </w:trPr>
        <w:tc>
          <w:tcPr>
            <w:tcW w:w="2565" w:type="dxa"/>
            <w:shd w:val="clear" w:color="auto" w:fill="auto"/>
          </w:tcPr>
          <w:p w14:paraId="0B1770D6"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Pausen und </w:t>
            </w:r>
            <w:r w:rsidRPr="00450702">
              <w:rPr>
                <w:rFonts w:ascii="Arial" w:eastAsiaTheme="minorHAnsi" w:hAnsi="Arial" w:cs="Arial"/>
                <w:kern w:val="2"/>
                <w:sz w:val="24"/>
                <w14:ligatures w14:val="standardContextual"/>
              </w:rPr>
              <w:br/>
              <w:t>Ruhezeiten</w:t>
            </w:r>
          </w:p>
        </w:tc>
        <w:tc>
          <w:tcPr>
            <w:tcW w:w="6928" w:type="dxa"/>
            <w:shd w:val="clear" w:color="auto" w:fill="auto"/>
          </w:tcPr>
          <w:p w14:paraId="1D508541"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Anzahl und Lage der Pausen und Ruhezeiten sind festzulegen.</w:t>
            </w:r>
          </w:p>
        </w:tc>
      </w:tr>
      <w:tr w:rsidR="00450702" w:rsidRPr="00450702" w14:paraId="7BA19287" w14:textId="77777777" w:rsidTr="00450702">
        <w:trPr>
          <w:jc w:val="center"/>
        </w:trPr>
        <w:tc>
          <w:tcPr>
            <w:tcW w:w="2565" w:type="dxa"/>
            <w:shd w:val="clear" w:color="auto" w:fill="auto"/>
          </w:tcPr>
          <w:p w14:paraId="7C2F7271"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Arbeit auf Abruf </w:t>
            </w:r>
          </w:p>
        </w:tc>
        <w:tc>
          <w:tcPr>
            <w:tcW w:w="6928" w:type="dxa"/>
            <w:shd w:val="clear" w:color="auto" w:fill="auto"/>
          </w:tcPr>
          <w:p w14:paraId="43465116"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Die Zahl der mindestens zu vergütenden Stunden, die Ankündigungsfrist für den Arbeitseinsatz und der Zeitrahmen für die Erbringung der Arbeitsleistung ist festzulegen. Das ist wichtig bei flexiblem Einsatz in AGs am Nachmittag.</w:t>
            </w:r>
          </w:p>
        </w:tc>
      </w:tr>
      <w:tr w:rsidR="00450702" w:rsidRPr="00450702" w14:paraId="6F6F00B0" w14:textId="77777777" w:rsidTr="00450702">
        <w:trPr>
          <w:jc w:val="center"/>
        </w:trPr>
        <w:tc>
          <w:tcPr>
            <w:tcW w:w="2565" w:type="dxa"/>
            <w:shd w:val="clear" w:color="auto" w:fill="auto"/>
          </w:tcPr>
          <w:p w14:paraId="007F4793"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Kündigung</w:t>
            </w:r>
          </w:p>
        </w:tc>
        <w:tc>
          <w:tcPr>
            <w:tcW w:w="6928" w:type="dxa"/>
            <w:shd w:val="clear" w:color="auto" w:fill="auto"/>
          </w:tcPr>
          <w:p w14:paraId="2DE96FB3"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Auf Kündigungsfristen, Schriftformerfordernis und die Frist zur Erhebung einer Kündigungsschutzklage ist hinzuweisen.</w:t>
            </w:r>
          </w:p>
        </w:tc>
      </w:tr>
      <w:tr w:rsidR="00450702" w:rsidRPr="00450702" w14:paraId="4ABBEB30" w14:textId="77777777" w:rsidTr="00450702">
        <w:trPr>
          <w:jc w:val="center"/>
        </w:trPr>
        <w:tc>
          <w:tcPr>
            <w:tcW w:w="2565" w:type="dxa"/>
            <w:shd w:val="clear" w:color="auto" w:fill="auto"/>
          </w:tcPr>
          <w:p w14:paraId="107A6367"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 xml:space="preserve">Tarifverträge, </w:t>
            </w:r>
            <w:r w:rsidRPr="00450702">
              <w:rPr>
                <w:rFonts w:ascii="Arial" w:eastAsiaTheme="minorHAnsi" w:hAnsi="Arial" w:cs="Arial"/>
                <w:kern w:val="2"/>
                <w:sz w:val="24"/>
                <w14:ligatures w14:val="standardContextual"/>
              </w:rPr>
              <w:br/>
              <w:t>Betriebs- und Dienstvereinbarungen</w:t>
            </w:r>
          </w:p>
        </w:tc>
        <w:tc>
          <w:tcPr>
            <w:tcW w:w="6928" w:type="dxa"/>
            <w:shd w:val="clear" w:color="auto" w:fill="auto"/>
          </w:tcPr>
          <w:p w14:paraId="4244213D" w14:textId="77777777" w:rsidR="00450702" w:rsidRPr="00450702" w:rsidRDefault="00450702" w:rsidP="00450702">
            <w:pPr>
              <w:spacing w:before="120" w:after="120"/>
              <w:rPr>
                <w:rFonts w:ascii="Arial" w:eastAsiaTheme="minorHAnsi" w:hAnsi="Arial" w:cs="Arial"/>
                <w:kern w:val="2"/>
                <w:sz w:val="24"/>
                <w14:ligatures w14:val="standardContextual"/>
              </w:rPr>
            </w:pPr>
            <w:r w:rsidRPr="00450702">
              <w:rPr>
                <w:rFonts w:ascii="Arial" w:eastAsiaTheme="minorHAnsi" w:hAnsi="Arial" w:cs="Arial"/>
                <w:kern w:val="2"/>
                <w:sz w:val="24"/>
                <w14:ligatures w14:val="standardContextual"/>
              </w:rPr>
              <w:t>Auf die Anwendbarkeit von Tarifverträgen, Betriebs- oder Dienstvereinbarungen und auf die Geltung kirchlichen Arbeitsrechts ist hinzuweisen (sog. Bezugnahme).</w:t>
            </w:r>
          </w:p>
        </w:tc>
      </w:tr>
    </w:tbl>
    <w:p w14:paraId="441DA007" w14:textId="77777777" w:rsidR="00450702" w:rsidRPr="00450702" w:rsidRDefault="00450702" w:rsidP="0054791A">
      <w:pPr>
        <w:spacing w:before="120" w:after="120"/>
        <w:rPr>
          <w:rFonts w:ascii="Arial" w:eastAsiaTheme="minorHAnsi" w:hAnsi="Arial" w:cs="Arial"/>
          <w:kern w:val="2"/>
          <w:sz w:val="24"/>
          <w14:ligatures w14:val="standardContextual"/>
        </w:rPr>
      </w:pPr>
    </w:p>
    <w:sectPr w:rsidR="00450702" w:rsidRPr="00450702" w:rsidSect="0054791A">
      <w:headerReference w:type="default" r:id="rId7"/>
      <w:pgSz w:w="11906" w:h="16838" w:code="9"/>
      <w:pgMar w:top="-709"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Sans-Light">
    <w:altName w:val="Calibri"/>
    <w:panose1 w:val="00000000000000000000"/>
    <w:charset w:val="00"/>
    <w:family w:val="swiss"/>
    <w:notTrueType/>
    <w:pitch w:val="default"/>
    <w:sig w:usb0="00000003" w:usb1="00000000" w:usb2="00000000" w:usb3="00000000" w:csb0="00000001"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01C69007" w:rsidR="00095CFC" w:rsidRPr="00AD651E" w:rsidRDefault="007468F3"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2</w:t>
          </w:r>
          <w:r w:rsidR="00450702">
            <w:rPr>
              <w:rFonts w:ascii="Interstate Cond" w:hAnsi="Interstate Cond"/>
              <w:b/>
              <w:color w:val="FFFFFF" w:themeColor="background1"/>
              <w:sz w:val="32"/>
            </w:rPr>
            <w:t>3</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652727">
            <w:rPr>
              <w:rFonts w:ascii="Interstate Cond" w:hAnsi="Interstate Cond"/>
              <w:b/>
              <w:color w:val="FFFFFF" w:themeColor="background1"/>
              <w:sz w:val="32"/>
            </w:rPr>
            <w:t>4</w:t>
          </w:r>
          <w:r w:rsidR="00A158BF">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512376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77349E"/>
    <w:multiLevelType w:val="hybridMultilevel"/>
    <w:tmpl w:val="B94C4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25276"/>
    <w:multiLevelType w:val="hybridMultilevel"/>
    <w:tmpl w:val="7F4E3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6F3F4F"/>
    <w:multiLevelType w:val="hybridMultilevel"/>
    <w:tmpl w:val="F4F03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91561128"/>
    <w:lvl w:ilvl="0" w:tplc="703C406A">
      <w:start w:val="1"/>
      <w:numFmt w:val="bullet"/>
      <w:pStyle w:val="7dSGHKastenAuflistung"/>
      <w:lvlText w:val=""/>
      <w:lvlJc w:val="left"/>
      <w:pPr>
        <w:ind w:left="227" w:hanging="227"/>
      </w:pPr>
      <w:rPr>
        <w:rFonts w:ascii="Wingdings 3" w:hAnsi="Wingdings 3" w:hint="default"/>
        <w:color w:val="DB8C3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463583">
    <w:abstractNumId w:val="10"/>
  </w:num>
  <w:num w:numId="2" w16cid:durableId="1667436405">
    <w:abstractNumId w:val="20"/>
  </w:num>
  <w:num w:numId="3" w16cid:durableId="1489901206">
    <w:abstractNumId w:val="24"/>
  </w:num>
  <w:num w:numId="4" w16cid:durableId="347487071">
    <w:abstractNumId w:val="11"/>
  </w:num>
  <w:num w:numId="5" w16cid:durableId="1797259768">
    <w:abstractNumId w:val="6"/>
  </w:num>
  <w:num w:numId="6" w16cid:durableId="382026321">
    <w:abstractNumId w:val="7"/>
  </w:num>
  <w:num w:numId="7" w16cid:durableId="1689794066">
    <w:abstractNumId w:val="13"/>
  </w:num>
  <w:num w:numId="8" w16cid:durableId="1879587828">
    <w:abstractNumId w:val="12"/>
  </w:num>
  <w:num w:numId="9" w16cid:durableId="1300964876">
    <w:abstractNumId w:val="9"/>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992877354">
    <w:abstractNumId w:val="25"/>
  </w:num>
  <w:num w:numId="24" w16cid:durableId="1379280480">
    <w:abstractNumId w:val="23"/>
  </w:num>
  <w:num w:numId="25" w16cid:durableId="1262297164">
    <w:abstractNumId w:val="8"/>
  </w:num>
  <w:num w:numId="26" w16cid:durableId="5897751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32A86"/>
    <w:rsid w:val="00095CFC"/>
    <w:rsid w:val="000A7188"/>
    <w:rsid w:val="000B50CC"/>
    <w:rsid w:val="000C53E7"/>
    <w:rsid w:val="000C66D4"/>
    <w:rsid w:val="000C6A2D"/>
    <w:rsid w:val="000F2849"/>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D2648"/>
    <w:rsid w:val="003E3400"/>
    <w:rsid w:val="00432173"/>
    <w:rsid w:val="00433F51"/>
    <w:rsid w:val="00450702"/>
    <w:rsid w:val="004639C0"/>
    <w:rsid w:val="004955F6"/>
    <w:rsid w:val="004A47F9"/>
    <w:rsid w:val="004C2396"/>
    <w:rsid w:val="0050689E"/>
    <w:rsid w:val="00540062"/>
    <w:rsid w:val="0054791A"/>
    <w:rsid w:val="00551B88"/>
    <w:rsid w:val="00581B4B"/>
    <w:rsid w:val="00587D31"/>
    <w:rsid w:val="005E5681"/>
    <w:rsid w:val="00614D0A"/>
    <w:rsid w:val="00652727"/>
    <w:rsid w:val="00653E72"/>
    <w:rsid w:val="00661981"/>
    <w:rsid w:val="006A5CFE"/>
    <w:rsid w:val="006B0218"/>
    <w:rsid w:val="006C5854"/>
    <w:rsid w:val="006E18EF"/>
    <w:rsid w:val="006F7D13"/>
    <w:rsid w:val="007468F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158BF"/>
    <w:rsid w:val="00A2122A"/>
    <w:rsid w:val="00AD651E"/>
    <w:rsid w:val="00AF17D9"/>
    <w:rsid w:val="00B01FFE"/>
    <w:rsid w:val="00B076D9"/>
    <w:rsid w:val="00B707AF"/>
    <w:rsid w:val="00B81586"/>
    <w:rsid w:val="00B87D52"/>
    <w:rsid w:val="00BD49AA"/>
    <w:rsid w:val="00BD71E9"/>
    <w:rsid w:val="00C310AF"/>
    <w:rsid w:val="00C36B6C"/>
    <w:rsid w:val="00C42CEF"/>
    <w:rsid w:val="00C4559E"/>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7468F3"/>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SGHKastenSubhead">
    <w:name w:val="7b_SGH_Kasten_Subhead"/>
    <w:qFormat/>
    <w:rsid w:val="007468F3"/>
    <w:pPr>
      <w:spacing w:after="120"/>
    </w:pPr>
    <w:rPr>
      <w:rFonts w:asciiTheme="minorHAnsi" w:eastAsiaTheme="minorHAnsi" w:hAnsiTheme="minorHAnsi" w:cstheme="minorHAnsi"/>
      <w:b/>
      <w:bCs/>
      <w:sz w:val="18"/>
      <w:szCs w:val="18"/>
      <w:lang w:eastAsia="en-US"/>
    </w:rPr>
  </w:style>
  <w:style w:type="paragraph" w:customStyle="1" w:styleId="7dSGHKastenAuflistung">
    <w:name w:val="7d_SGH_Kasten_Auflistung"/>
    <w:basedOn w:val="Standard"/>
    <w:qFormat/>
    <w:rsid w:val="007468F3"/>
    <w:pPr>
      <w:numPr>
        <w:numId w:val="23"/>
      </w:numPr>
      <w:spacing w:after="0" w:line="220" w:lineRule="exact"/>
    </w:pPr>
    <w:rPr>
      <w:rFonts w:asciiTheme="majorHAnsi" w:eastAsiaTheme="minorHAnsi" w:hAnsiTheme="majorHAnsi" w:cs="Calibri Light (Überschriften)"/>
      <w:spacing w:val="-6"/>
      <w:sz w:val="18"/>
      <w:szCs w:val="19"/>
    </w:rPr>
  </w:style>
  <w:style w:type="paragraph" w:customStyle="1" w:styleId="7aSGHKastenHead">
    <w:name w:val="7a_SGH_Kasten_Head"/>
    <w:basedOn w:val="Standard"/>
    <w:qFormat/>
    <w:rsid w:val="007468F3"/>
    <w:pPr>
      <w:spacing w:before="120" w:after="0" w:line="260" w:lineRule="exact"/>
      <w:jc w:val="both"/>
    </w:pPr>
    <w:rPr>
      <w:rFonts w:asciiTheme="minorHAnsi" w:eastAsiaTheme="minorHAnsi" w:hAnsiTheme="minorHAnsi" w:cstheme="minorHAnsi"/>
      <w:b/>
      <w:bCs/>
      <w:sz w:val="24"/>
      <w:szCs w:val="28"/>
    </w:rPr>
  </w:style>
  <w:style w:type="character" w:styleId="Hyperlink">
    <w:name w:val="Hyperlink"/>
    <w:basedOn w:val="Absatz-Standardschriftart"/>
    <w:uiPriority w:val="99"/>
    <w:unhideWhenUsed/>
    <w:rsid w:val="0054791A"/>
    <w:rPr>
      <w:color w:val="0563C1" w:themeColor="hyperlink"/>
      <w:u w:val="single"/>
    </w:rPr>
  </w:style>
  <w:style w:type="character" w:styleId="NichtaufgelsteErwhnung">
    <w:name w:val="Unresolved Mention"/>
    <w:basedOn w:val="Absatz-Standardschriftart"/>
    <w:uiPriority w:val="99"/>
    <w:semiHidden/>
    <w:unhideWhenUsed/>
    <w:rsid w:val="0054791A"/>
    <w:rPr>
      <w:color w:val="605E5C"/>
      <w:shd w:val="clear" w:color="auto" w:fill="E1DFDD"/>
    </w:rPr>
  </w:style>
  <w:style w:type="table" w:styleId="Gitternetztabelle4Akzent1">
    <w:name w:val="Grid Table 4 Accent 1"/>
    <w:basedOn w:val="NormaleTabelle"/>
    <w:uiPriority w:val="49"/>
    <w:rsid w:val="00C36B6C"/>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7ZblauneuUF3">
    <w:name w:val="07 ZÜ blau neu UF 3"/>
    <w:basedOn w:val="Standard"/>
    <w:autoRedefine/>
    <w:qFormat/>
    <w:rsid w:val="00450702"/>
    <w:pPr>
      <w:spacing w:after="120" w:line="240" w:lineRule="auto"/>
    </w:pPr>
    <w:rPr>
      <w:rFonts w:ascii="Arial Narrow" w:eastAsiaTheme="minorHAnsi" w:hAnsi="Arial Narrow" w:cs="Arial"/>
      <w:b/>
      <w:bCs/>
      <w:i/>
      <w:iCs/>
      <w:color w:val="00B0F0"/>
      <w:spacing w:val="6"/>
      <w:kern w:val="2"/>
      <w:sz w:val="26"/>
      <w:szCs w:val="24"/>
      <w14:ligatures w14:val="standardContextual"/>
    </w:rPr>
  </w:style>
  <w:style w:type="paragraph" w:customStyle="1" w:styleId="08ZgelbuntergeordnetUF">
    <w:name w:val="08 ZÜ gelb untergeordnet UF"/>
    <w:basedOn w:val="Standard"/>
    <w:autoRedefine/>
    <w:qFormat/>
    <w:rsid w:val="00450702"/>
    <w:pPr>
      <w:spacing w:before="120" w:after="120" w:line="240" w:lineRule="auto"/>
    </w:pPr>
    <w:rPr>
      <w:rFonts w:ascii="Arial Narrow" w:hAnsi="Arial Narrow" w:cs="FiraSans-Light"/>
      <w:b/>
      <w:color w:val="BF8F00" w:themeColor="accent4" w:themeShade="BF"/>
      <w:sz w:val="24"/>
      <w:szCs w:val="24"/>
    </w:rPr>
  </w:style>
  <w:style w:type="paragraph" w:customStyle="1" w:styleId="06FlietextUF2">
    <w:name w:val="06 Fließtext UF 2"/>
    <w:basedOn w:val="Standard"/>
    <w:autoRedefine/>
    <w:qFormat/>
    <w:rsid w:val="00450702"/>
    <w:pPr>
      <w:spacing w:after="120" w:line="288" w:lineRule="auto"/>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3</cp:revision>
  <cp:lastPrinted>2013-12-09T11:30:00Z</cp:lastPrinted>
  <dcterms:created xsi:type="dcterms:W3CDTF">2024-11-06T10:37:00Z</dcterms:created>
  <dcterms:modified xsi:type="dcterms:W3CDTF">2024-11-06T10:38:00Z</dcterms:modified>
</cp:coreProperties>
</file>