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29C6A6FB" w14:textId="42BD8029" w:rsidR="00565540" w:rsidRPr="00565540" w:rsidRDefault="006E18EF" w:rsidP="00565540">
      <w:pPr>
        <w:tabs>
          <w:tab w:val="left" w:pos="2430"/>
        </w:tabs>
      </w:pPr>
      <w:r>
        <w:tab/>
      </w:r>
    </w:p>
    <w:tbl>
      <w:tblPr>
        <w:tblStyle w:val="Tabellenraster"/>
        <w:tblW w:w="10910" w:type="dxa"/>
        <w:jc w:val="center"/>
        <w:tblLayout w:type="fixed"/>
        <w:tblLook w:val="06A0" w:firstRow="1" w:lastRow="0" w:firstColumn="1" w:lastColumn="0" w:noHBand="1" w:noVBand="1"/>
      </w:tblPr>
      <w:tblGrid>
        <w:gridCol w:w="1838"/>
        <w:gridCol w:w="9072"/>
      </w:tblGrid>
      <w:tr w:rsidR="00565540" w:rsidRPr="00565540" w14:paraId="49A74106" w14:textId="77777777" w:rsidTr="00565540">
        <w:trPr>
          <w:trHeight w:val="300"/>
          <w:jc w:val="center"/>
        </w:trPr>
        <w:tc>
          <w:tcPr>
            <w:tcW w:w="10910" w:type="dxa"/>
            <w:gridSpan w:val="2"/>
            <w:shd w:val="clear" w:color="auto" w:fill="0790CF"/>
          </w:tcPr>
          <w:p w14:paraId="036B6250" w14:textId="1277EC22" w:rsidR="00565540" w:rsidRPr="00565540" w:rsidRDefault="00565540" w:rsidP="00565540">
            <w:pPr>
              <w:spacing w:before="120" w:after="120"/>
              <w:rPr>
                <w:rFonts w:ascii="Arial" w:eastAsia="Calibri" w:hAnsi="Arial" w:cs="Arial"/>
                <w:b/>
                <w:kern w:val="0"/>
                <w:sz w:val="28"/>
                <w:szCs w:val="28"/>
                <w14:ligatures w14:val="none"/>
              </w:rPr>
            </w:pPr>
            <w:r>
              <w:rPr>
                <w:rFonts w:ascii="Arial" w:eastAsia="Calibri" w:hAnsi="Arial" w:cs="Arial"/>
                <w:b/>
                <w:kern w:val="0"/>
                <w:sz w:val="28"/>
                <w:szCs w:val="28"/>
                <w14:ligatures w14:val="none"/>
              </w:rPr>
              <w:t xml:space="preserve">Übersicht: </w:t>
            </w:r>
            <w:r w:rsidRPr="00565540">
              <w:rPr>
                <w:rFonts w:ascii="Arial" w:eastAsia="Calibri" w:hAnsi="Arial" w:cs="Arial"/>
                <w:b/>
                <w:kern w:val="0"/>
                <w:sz w:val="28"/>
                <w:szCs w:val="28"/>
                <w14:ligatures w14:val="none"/>
              </w:rPr>
              <w:t xml:space="preserve">Glossar zum Thema </w:t>
            </w:r>
            <w:r>
              <w:rPr>
                <w:rFonts w:ascii="Arial" w:eastAsia="Calibri" w:hAnsi="Arial" w:cs="Arial"/>
                <w:b/>
                <w:kern w:val="0"/>
                <w:sz w:val="28"/>
                <w:szCs w:val="28"/>
                <w14:ligatures w14:val="none"/>
              </w:rPr>
              <w:t>„</w:t>
            </w:r>
            <w:r w:rsidRPr="00565540">
              <w:rPr>
                <w:rFonts w:ascii="Arial" w:eastAsia="Calibri" w:hAnsi="Arial" w:cs="Arial"/>
                <w:b/>
                <w:kern w:val="0"/>
                <w:sz w:val="28"/>
                <w:szCs w:val="28"/>
                <w14:ligatures w14:val="none"/>
              </w:rPr>
              <w:t>Diabetes”</w:t>
            </w:r>
          </w:p>
        </w:tc>
      </w:tr>
      <w:tr w:rsidR="00565540" w:rsidRPr="00565540" w14:paraId="3D8FB68B" w14:textId="77777777" w:rsidTr="00565540">
        <w:trPr>
          <w:trHeight w:val="300"/>
          <w:jc w:val="center"/>
        </w:trPr>
        <w:tc>
          <w:tcPr>
            <w:tcW w:w="1838" w:type="dxa"/>
            <w:shd w:val="clear" w:color="auto" w:fill="E4AA6A"/>
          </w:tcPr>
          <w:p w14:paraId="3076523B" w14:textId="77777777" w:rsidR="00565540" w:rsidRPr="00565540" w:rsidRDefault="00565540" w:rsidP="00565540">
            <w:pPr>
              <w:spacing w:before="120" w:after="120"/>
              <w:rPr>
                <w:rFonts w:ascii="Arial" w:eastAsia="Calibri" w:hAnsi="Arial" w:cs="Arial"/>
                <w:b/>
                <w:kern w:val="0"/>
                <w:sz w:val="24"/>
                <w:szCs w:val="24"/>
                <w14:ligatures w14:val="none"/>
              </w:rPr>
            </w:pPr>
            <w:r w:rsidRPr="00565540">
              <w:rPr>
                <w:rFonts w:ascii="Arial" w:eastAsia="Calibri" w:hAnsi="Arial" w:cs="Arial"/>
                <w:b/>
                <w:kern w:val="0"/>
                <w:sz w:val="24"/>
                <w:szCs w:val="24"/>
                <w14:ligatures w14:val="none"/>
              </w:rPr>
              <w:t>Begriff</w:t>
            </w:r>
          </w:p>
        </w:tc>
        <w:tc>
          <w:tcPr>
            <w:tcW w:w="9072" w:type="dxa"/>
            <w:shd w:val="clear" w:color="auto" w:fill="E4AA6A"/>
          </w:tcPr>
          <w:p w14:paraId="463D6D1C" w14:textId="77777777" w:rsidR="00565540" w:rsidRPr="00565540" w:rsidRDefault="00565540" w:rsidP="00565540">
            <w:pPr>
              <w:spacing w:before="120" w:after="120"/>
              <w:rPr>
                <w:rFonts w:ascii="Arial" w:eastAsia="Calibri" w:hAnsi="Arial" w:cs="Arial"/>
                <w:b/>
                <w:kern w:val="0"/>
                <w:sz w:val="24"/>
                <w:szCs w:val="24"/>
                <w14:ligatures w14:val="none"/>
              </w:rPr>
            </w:pPr>
            <w:r w:rsidRPr="00565540">
              <w:rPr>
                <w:rFonts w:ascii="Arial" w:eastAsia="Calibri" w:hAnsi="Arial" w:cs="Arial"/>
                <w:b/>
                <w:kern w:val="0"/>
                <w:sz w:val="24"/>
                <w:szCs w:val="24"/>
                <w14:ligatures w14:val="none"/>
              </w:rPr>
              <w:t>Erklärung</w:t>
            </w:r>
          </w:p>
        </w:tc>
      </w:tr>
      <w:tr w:rsidR="00565540" w:rsidRPr="00565540" w14:paraId="6C201C1B" w14:textId="77777777" w:rsidTr="00565540">
        <w:trPr>
          <w:trHeight w:val="300"/>
          <w:jc w:val="center"/>
        </w:trPr>
        <w:tc>
          <w:tcPr>
            <w:tcW w:w="1838" w:type="dxa"/>
          </w:tcPr>
          <w:p w14:paraId="4D5AD780" w14:textId="5FFEDDDF"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Basalrate/</w:t>
            </w:r>
            <w:r w:rsidRPr="00565540">
              <w:rPr>
                <w:rFonts w:ascii="Arial" w:eastAsia="Calibri" w:hAnsi="Arial" w:cs="Arial"/>
                <w:bCs/>
                <w:kern w:val="0"/>
                <w:sz w:val="24"/>
                <w:szCs w:val="24"/>
                <w14:ligatures w14:val="none"/>
              </w:rPr>
              <w:t xml:space="preserve"> </w:t>
            </w:r>
            <w:r w:rsidRPr="00565540">
              <w:rPr>
                <w:rFonts w:ascii="Arial" w:eastAsia="Calibri" w:hAnsi="Arial" w:cs="Arial"/>
                <w:bCs/>
                <w:kern w:val="0"/>
                <w:sz w:val="24"/>
                <w:szCs w:val="24"/>
                <w14:ligatures w14:val="none"/>
              </w:rPr>
              <w:t>Basalinsulin</w:t>
            </w:r>
          </w:p>
        </w:tc>
        <w:tc>
          <w:tcPr>
            <w:tcW w:w="9072" w:type="dxa"/>
          </w:tcPr>
          <w:p w14:paraId="310A1DA5"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Insulinmenge, die ein gesunder Körper selbstständig herstellt, um eine stabile Blutzuckerkonzentration zu gewährleisten</w:t>
            </w:r>
          </w:p>
        </w:tc>
      </w:tr>
      <w:tr w:rsidR="00565540" w:rsidRPr="00565540" w14:paraId="0476198E" w14:textId="77777777" w:rsidTr="00565540">
        <w:trPr>
          <w:trHeight w:val="300"/>
          <w:jc w:val="center"/>
        </w:trPr>
        <w:tc>
          <w:tcPr>
            <w:tcW w:w="1838" w:type="dxa"/>
          </w:tcPr>
          <w:p w14:paraId="26E3177E" w14:textId="4F9294BE"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Blutzucker</w:t>
            </w:r>
            <w:r w:rsidRPr="00565540">
              <w:rPr>
                <w:rFonts w:ascii="Arial" w:eastAsia="Calibri" w:hAnsi="Arial" w:cs="Arial"/>
                <w:bCs/>
                <w:kern w:val="0"/>
                <w:sz w:val="24"/>
                <w:szCs w:val="24"/>
                <w14:ligatures w14:val="none"/>
              </w:rPr>
              <w:t>-</w:t>
            </w:r>
            <w:r w:rsidRPr="00565540">
              <w:rPr>
                <w:rFonts w:ascii="Arial" w:eastAsia="Calibri" w:hAnsi="Arial" w:cs="Arial"/>
                <w:bCs/>
                <w:kern w:val="0"/>
                <w:sz w:val="24"/>
                <w:szCs w:val="24"/>
                <w14:ligatures w14:val="none"/>
              </w:rPr>
              <w:t>werte</w:t>
            </w:r>
          </w:p>
        </w:tc>
        <w:tc>
          <w:tcPr>
            <w:tcW w:w="9072" w:type="dxa"/>
          </w:tcPr>
          <w:p w14:paraId="710914F6"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Blutzucker wird entweder in mg/dl (Milligramm pro Volumen Blut in Deziliter) oder mmol/l (Millimol pro Volumen Blut in Liter) gemessen. Es ist egal, in welcher Einheit gemessen wird. Um die Blutzuckerwerte beurteilen zu können, müssen die KuK aber wissen, in welcher Einheit das von den </w:t>
            </w:r>
            <w:proofErr w:type="spellStart"/>
            <w:r w:rsidRPr="00565540">
              <w:rPr>
                <w:rFonts w:ascii="Arial" w:eastAsia="Calibri" w:hAnsi="Arial" w:cs="Arial"/>
                <w:bCs/>
                <w:kern w:val="0"/>
                <w:sz w:val="24"/>
                <w:szCs w:val="24"/>
                <w14:ligatures w14:val="none"/>
              </w:rPr>
              <w:t>SuS</w:t>
            </w:r>
            <w:proofErr w:type="spellEnd"/>
            <w:r w:rsidRPr="00565540">
              <w:rPr>
                <w:rFonts w:ascii="Arial" w:eastAsia="Calibri" w:hAnsi="Arial" w:cs="Arial"/>
                <w:bCs/>
                <w:kern w:val="0"/>
                <w:sz w:val="24"/>
                <w:szCs w:val="24"/>
                <w14:ligatures w14:val="none"/>
              </w:rPr>
              <w:t xml:space="preserve"> verwendete Messgerät arbeitet.</w:t>
            </w:r>
          </w:p>
        </w:tc>
      </w:tr>
      <w:tr w:rsidR="00565540" w:rsidRPr="00565540" w14:paraId="59266DC1" w14:textId="77777777" w:rsidTr="00565540">
        <w:trPr>
          <w:trHeight w:val="300"/>
          <w:jc w:val="center"/>
        </w:trPr>
        <w:tc>
          <w:tcPr>
            <w:tcW w:w="1838" w:type="dxa"/>
          </w:tcPr>
          <w:p w14:paraId="41BF1D8D"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Broteinheit / BE oder </w:t>
            </w:r>
            <w:proofErr w:type="spellStart"/>
            <w:r w:rsidRPr="00565540">
              <w:rPr>
                <w:rFonts w:ascii="Arial" w:eastAsia="Calibri" w:hAnsi="Arial" w:cs="Arial"/>
                <w:bCs/>
                <w:kern w:val="0"/>
                <w:sz w:val="24"/>
                <w:szCs w:val="24"/>
                <w14:ligatures w14:val="none"/>
              </w:rPr>
              <w:t>gKH</w:t>
            </w:r>
            <w:proofErr w:type="spellEnd"/>
          </w:p>
        </w:tc>
        <w:tc>
          <w:tcPr>
            <w:tcW w:w="9072" w:type="dxa"/>
          </w:tcPr>
          <w:p w14:paraId="5BDD7034" w14:textId="77777777" w:rsidR="00565540" w:rsidRPr="00565540" w:rsidRDefault="00565540" w:rsidP="00565540">
            <w:pPr>
              <w:spacing w:before="120" w:after="120"/>
              <w:rPr>
                <w:rFonts w:ascii="Arial" w:eastAsia="Calibri" w:hAnsi="Arial" w:cs="Arial"/>
                <w:bCs/>
                <w:kern w:val="0"/>
                <w:sz w:val="24"/>
                <w:szCs w:val="24"/>
                <w14:ligatures w14:val="none"/>
              </w:rPr>
            </w:pPr>
            <w:proofErr w:type="spellStart"/>
            <w:r w:rsidRPr="00565540">
              <w:rPr>
                <w:rFonts w:ascii="Arial" w:eastAsia="Calibri" w:hAnsi="Arial" w:cs="Arial"/>
                <w:bCs/>
                <w:kern w:val="0"/>
                <w:sz w:val="24"/>
                <w:szCs w:val="24"/>
                <w14:ligatures w14:val="none"/>
              </w:rPr>
              <w:t>SuS</w:t>
            </w:r>
            <w:proofErr w:type="spellEnd"/>
            <w:r w:rsidRPr="00565540">
              <w:rPr>
                <w:rFonts w:ascii="Arial" w:eastAsia="Calibri" w:hAnsi="Arial" w:cs="Arial"/>
                <w:bCs/>
                <w:kern w:val="0"/>
                <w:sz w:val="24"/>
                <w:szCs w:val="24"/>
                <w14:ligatures w14:val="none"/>
              </w:rPr>
              <w:t xml:space="preserve"> müssen in der Regel berechnen, wie viele Kohlehydrate sie zu sich nehmen. Die Berechnung erfolgt in Broteinheiten. 1 BE = 12 g Kohlehydrate. Wer mit </w:t>
            </w:r>
            <w:proofErr w:type="spellStart"/>
            <w:r w:rsidRPr="00565540">
              <w:rPr>
                <w:rFonts w:ascii="Arial" w:eastAsia="Calibri" w:hAnsi="Arial" w:cs="Arial"/>
                <w:bCs/>
                <w:kern w:val="0"/>
                <w:sz w:val="24"/>
                <w:szCs w:val="24"/>
                <w14:ligatures w14:val="none"/>
              </w:rPr>
              <w:t>gKH</w:t>
            </w:r>
            <w:proofErr w:type="spellEnd"/>
            <w:r w:rsidRPr="00565540">
              <w:rPr>
                <w:rFonts w:ascii="Arial" w:eastAsia="Calibri" w:hAnsi="Arial" w:cs="Arial"/>
                <w:bCs/>
                <w:kern w:val="0"/>
                <w:sz w:val="24"/>
                <w:szCs w:val="24"/>
                <w14:ligatures w14:val="none"/>
              </w:rPr>
              <w:t xml:space="preserve"> rechnet, kann leichter mit den Nährwerttabellen auf den Lebensmittelpackungen rechnen.</w:t>
            </w:r>
          </w:p>
        </w:tc>
      </w:tr>
      <w:tr w:rsidR="00565540" w:rsidRPr="00565540" w14:paraId="6DD09EF9" w14:textId="77777777" w:rsidTr="00565540">
        <w:trPr>
          <w:trHeight w:val="300"/>
          <w:jc w:val="center"/>
        </w:trPr>
        <w:tc>
          <w:tcPr>
            <w:tcW w:w="1838" w:type="dxa"/>
          </w:tcPr>
          <w:p w14:paraId="324D7069"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CGM (System)</w:t>
            </w:r>
          </w:p>
        </w:tc>
        <w:tc>
          <w:tcPr>
            <w:tcW w:w="9072" w:type="dxa"/>
          </w:tcPr>
          <w:p w14:paraId="5FDE4A2E"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w:t>
            </w:r>
            <w:proofErr w:type="spellStart"/>
            <w:r w:rsidRPr="00565540">
              <w:rPr>
                <w:rFonts w:ascii="Arial" w:eastAsia="Calibri" w:hAnsi="Arial" w:cs="Arial"/>
                <w:bCs/>
                <w:kern w:val="0"/>
                <w:sz w:val="24"/>
                <w:szCs w:val="24"/>
                <w14:ligatures w14:val="none"/>
              </w:rPr>
              <w:t>Continuous</w:t>
            </w:r>
            <w:proofErr w:type="spellEnd"/>
            <w:r w:rsidRPr="00565540">
              <w:rPr>
                <w:rFonts w:ascii="Arial" w:eastAsia="Calibri" w:hAnsi="Arial" w:cs="Arial"/>
                <w:bCs/>
                <w:kern w:val="0"/>
                <w:sz w:val="24"/>
                <w:szCs w:val="24"/>
                <w14:ligatures w14:val="none"/>
              </w:rPr>
              <w:t xml:space="preserve"> Glucose Monitoring“ (= kontinuierliche Glukosemessung) Mit diesen Geräten sind viele </w:t>
            </w:r>
            <w:proofErr w:type="spellStart"/>
            <w:r w:rsidRPr="00565540">
              <w:rPr>
                <w:rFonts w:ascii="Arial" w:eastAsia="Calibri" w:hAnsi="Arial" w:cs="Arial"/>
                <w:bCs/>
                <w:kern w:val="0"/>
                <w:sz w:val="24"/>
                <w:szCs w:val="24"/>
                <w14:ligatures w14:val="none"/>
              </w:rPr>
              <w:t>SuS</w:t>
            </w:r>
            <w:proofErr w:type="spellEnd"/>
            <w:r w:rsidRPr="00565540">
              <w:rPr>
                <w:rFonts w:ascii="Arial" w:eastAsia="Calibri" w:hAnsi="Arial" w:cs="Arial"/>
                <w:bCs/>
                <w:kern w:val="0"/>
                <w:sz w:val="24"/>
                <w:szCs w:val="24"/>
                <w14:ligatures w14:val="none"/>
              </w:rPr>
              <w:t xml:space="preserve"> inzwischen ausgestattet, was den Umgang mit dem Diabetes im Schulalltag sehr erleichtert. Ein Sensor misst kontinuierlich den Gewebezuckerwert und schlägt Alarm, wenn die Werte sich aus dem gewünschten Normbereich in Richtung Unter- oder Überzuckerung bewegen. Meist sind diese Geräte mit einer Insulinpumpe verbunden, sodass die Insulingabe der Basalrate automatisch den aktuellen Gewebezuckerwerten angepasst wird.</w:t>
            </w:r>
          </w:p>
        </w:tc>
      </w:tr>
      <w:tr w:rsidR="00565540" w:rsidRPr="00565540" w14:paraId="23A5D20B" w14:textId="77777777" w:rsidTr="00565540">
        <w:trPr>
          <w:trHeight w:val="300"/>
          <w:jc w:val="center"/>
        </w:trPr>
        <w:tc>
          <w:tcPr>
            <w:tcW w:w="1838" w:type="dxa"/>
          </w:tcPr>
          <w:p w14:paraId="776FB59B"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Diabetes Typ 1</w:t>
            </w:r>
          </w:p>
        </w:tc>
        <w:tc>
          <w:tcPr>
            <w:tcW w:w="9072" w:type="dxa"/>
          </w:tcPr>
          <w:p w14:paraId="139704F4" w14:textId="18662C85"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Autoimmunkrankheit, die wohl genetisch bedingt ist und deren genaue Ursache nach wie vor erforscht wird. Sie führt zu einem Insulinmangel, der unbehandelt lebensgefährlich werden kann. Diabetes Typ 1 ist nicht heilbar, aber gut behandelbar. Die Krankheit bricht meist im frühen Kindesalter, manchmal auch im jungen Erwachsenenalter aus, dann häufig nach einer Virusinfektion. </w:t>
            </w:r>
          </w:p>
        </w:tc>
      </w:tr>
      <w:tr w:rsidR="00565540" w:rsidRPr="00565540" w14:paraId="1E1FAA58" w14:textId="77777777" w:rsidTr="00565540">
        <w:trPr>
          <w:trHeight w:val="300"/>
          <w:jc w:val="center"/>
        </w:trPr>
        <w:tc>
          <w:tcPr>
            <w:tcW w:w="1838" w:type="dxa"/>
          </w:tcPr>
          <w:p w14:paraId="2B77BBD3"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HbA1c</w:t>
            </w:r>
          </w:p>
        </w:tc>
        <w:tc>
          <w:tcPr>
            <w:tcW w:w="9072" w:type="dxa"/>
          </w:tcPr>
          <w:p w14:paraId="2B6D6099"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Hämoglobin A 1c zeigt an, wie hoch die Blutzuckerwerte durchschnittlich in den vergangenen 8–10 Wochen waren. Ziel einer Diabetes-Typ1-Behandlung ist ein Wert unter 6 %, wobei 6–7 % auch in Ordnung sind.</w:t>
            </w:r>
          </w:p>
        </w:tc>
      </w:tr>
      <w:tr w:rsidR="00565540" w:rsidRPr="00565540" w14:paraId="363C189E" w14:textId="77777777" w:rsidTr="00565540">
        <w:trPr>
          <w:trHeight w:val="300"/>
          <w:jc w:val="center"/>
        </w:trPr>
        <w:tc>
          <w:tcPr>
            <w:tcW w:w="1838" w:type="dxa"/>
          </w:tcPr>
          <w:p w14:paraId="3FD6C6DD"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Insulin</w:t>
            </w:r>
          </w:p>
        </w:tc>
        <w:tc>
          <w:tcPr>
            <w:tcW w:w="9072" w:type="dxa"/>
          </w:tcPr>
          <w:p w14:paraId="2D97DE68"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Hormon, das in der Bauchspeicheldrüse produziert wird. Es ist dafür verantwortlich, dafür zu sorgen, dass die richtige Menge Zucker in die Zellen transportiert wird. Fehlt dieses, muss es von außen zugeführt werden.</w:t>
            </w:r>
          </w:p>
        </w:tc>
      </w:tr>
      <w:tr w:rsidR="00565540" w:rsidRPr="00565540" w14:paraId="203767D2" w14:textId="77777777" w:rsidTr="00565540">
        <w:trPr>
          <w:trHeight w:val="300"/>
          <w:jc w:val="center"/>
        </w:trPr>
        <w:tc>
          <w:tcPr>
            <w:tcW w:w="1838" w:type="dxa"/>
          </w:tcPr>
          <w:p w14:paraId="3A894143"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Hypoglykämie</w:t>
            </w:r>
          </w:p>
        </w:tc>
        <w:tc>
          <w:tcPr>
            <w:tcW w:w="9072" w:type="dxa"/>
          </w:tcPr>
          <w:p w14:paraId="3E997557"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Unterzuckerung: Dem Körper steht zu viel Insulin zur Verfügung.</w:t>
            </w:r>
          </w:p>
        </w:tc>
      </w:tr>
      <w:tr w:rsidR="00565540" w:rsidRPr="00565540" w14:paraId="741B5AF3" w14:textId="77777777" w:rsidTr="00565540">
        <w:trPr>
          <w:trHeight w:val="300"/>
          <w:jc w:val="center"/>
        </w:trPr>
        <w:tc>
          <w:tcPr>
            <w:tcW w:w="1838" w:type="dxa"/>
          </w:tcPr>
          <w:p w14:paraId="08969545"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Hyperglykämie</w:t>
            </w:r>
          </w:p>
        </w:tc>
        <w:tc>
          <w:tcPr>
            <w:tcW w:w="9072" w:type="dxa"/>
          </w:tcPr>
          <w:p w14:paraId="13E93177"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Überzuckerung: Dem Körper steht zu wenig Insulin zur Verfügung. </w:t>
            </w:r>
          </w:p>
        </w:tc>
      </w:tr>
      <w:tr w:rsidR="00565540" w:rsidRPr="00565540" w14:paraId="7CB83E53" w14:textId="77777777" w:rsidTr="00565540">
        <w:trPr>
          <w:trHeight w:val="300"/>
          <w:jc w:val="center"/>
        </w:trPr>
        <w:tc>
          <w:tcPr>
            <w:tcW w:w="1838" w:type="dxa"/>
          </w:tcPr>
          <w:p w14:paraId="587D095F"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lastRenderedPageBreak/>
              <w:t>Insulinpen</w:t>
            </w:r>
          </w:p>
        </w:tc>
        <w:tc>
          <w:tcPr>
            <w:tcW w:w="9072" w:type="dxa"/>
          </w:tcPr>
          <w:p w14:paraId="4FDD6D55"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Injektionsgerät für Insulingaben in Stiftform</w:t>
            </w:r>
          </w:p>
        </w:tc>
      </w:tr>
      <w:tr w:rsidR="00565540" w:rsidRPr="00565540" w14:paraId="22D9E19B" w14:textId="77777777" w:rsidTr="00565540">
        <w:trPr>
          <w:trHeight w:val="300"/>
          <w:jc w:val="center"/>
        </w:trPr>
        <w:tc>
          <w:tcPr>
            <w:tcW w:w="1838" w:type="dxa"/>
          </w:tcPr>
          <w:p w14:paraId="433BFE4C"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Insulinpumpe</w:t>
            </w:r>
          </w:p>
        </w:tc>
        <w:tc>
          <w:tcPr>
            <w:tcW w:w="9072" w:type="dxa"/>
          </w:tcPr>
          <w:p w14:paraId="6F978518"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Gerät zur dauerhaften Insulingabe, das über einen Katheter im oberen Po-Bereich oder im Bauch auch den Blutzuckerspiegel misst und mit CGM-Geräten gekoppelt werden kann.</w:t>
            </w:r>
          </w:p>
        </w:tc>
      </w:tr>
      <w:tr w:rsidR="00565540" w:rsidRPr="00565540" w14:paraId="329C66B4" w14:textId="77777777" w:rsidTr="00565540">
        <w:trPr>
          <w:trHeight w:val="300"/>
          <w:jc w:val="center"/>
        </w:trPr>
        <w:tc>
          <w:tcPr>
            <w:tcW w:w="1838" w:type="dxa"/>
          </w:tcPr>
          <w:p w14:paraId="1BB0C2C4"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Ketoazidose</w:t>
            </w:r>
          </w:p>
        </w:tc>
        <w:tc>
          <w:tcPr>
            <w:tcW w:w="9072" w:type="dxa"/>
          </w:tcPr>
          <w:p w14:paraId="672C894E"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Lebensbedrohliche Stoffwechselentgleisung bei Überzuckerung </w:t>
            </w:r>
          </w:p>
        </w:tc>
      </w:tr>
      <w:tr w:rsidR="00565540" w:rsidRPr="00565540" w14:paraId="5AC74F25" w14:textId="77777777" w:rsidTr="00565540">
        <w:trPr>
          <w:trHeight w:val="300"/>
          <w:jc w:val="center"/>
        </w:trPr>
        <w:tc>
          <w:tcPr>
            <w:tcW w:w="1838" w:type="dxa"/>
          </w:tcPr>
          <w:p w14:paraId="351CDA6A"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Kohlehydrate</w:t>
            </w:r>
          </w:p>
        </w:tc>
        <w:tc>
          <w:tcPr>
            <w:tcW w:w="9072" w:type="dxa"/>
          </w:tcPr>
          <w:p w14:paraId="2EF3D1E0"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Nährstoffe, die Glukose (= Zucker) enthalten</w:t>
            </w:r>
          </w:p>
        </w:tc>
      </w:tr>
      <w:tr w:rsidR="00565540" w:rsidRPr="00565540" w14:paraId="13400425" w14:textId="77777777" w:rsidTr="00565540">
        <w:trPr>
          <w:trHeight w:val="300"/>
          <w:jc w:val="center"/>
        </w:trPr>
        <w:tc>
          <w:tcPr>
            <w:tcW w:w="1838" w:type="dxa"/>
          </w:tcPr>
          <w:p w14:paraId="2B34374D"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Notfallset</w:t>
            </w:r>
          </w:p>
        </w:tc>
        <w:tc>
          <w:tcPr>
            <w:tcW w:w="9072" w:type="dxa"/>
          </w:tcPr>
          <w:p w14:paraId="0D3A5E4A" w14:textId="77777777" w:rsidR="00565540" w:rsidRPr="00565540" w:rsidRDefault="00565540" w:rsidP="00565540">
            <w:pPr>
              <w:spacing w:before="120" w:after="120"/>
              <w:rPr>
                <w:rFonts w:ascii="Arial" w:eastAsia="Calibri" w:hAnsi="Arial" w:cs="Arial"/>
                <w:bCs/>
                <w:kern w:val="0"/>
                <w:sz w:val="24"/>
                <w:szCs w:val="24"/>
                <w14:ligatures w14:val="none"/>
              </w:rPr>
            </w:pPr>
            <w:r w:rsidRPr="00565540">
              <w:rPr>
                <w:rFonts w:ascii="Arial" w:eastAsia="Calibri" w:hAnsi="Arial" w:cs="Arial"/>
                <w:bCs/>
                <w:kern w:val="0"/>
                <w:sz w:val="24"/>
                <w:szCs w:val="24"/>
                <w14:ligatures w14:val="none"/>
              </w:rPr>
              <w:t xml:space="preserve">Notfallspritze mit Glukagon, die bei einer schweren Unterzuckerung als </w:t>
            </w:r>
            <w:proofErr w:type="spellStart"/>
            <w:r w:rsidRPr="00565540">
              <w:rPr>
                <w:rFonts w:ascii="Arial" w:eastAsia="Calibri" w:hAnsi="Arial" w:cs="Arial"/>
                <w:bCs/>
                <w:kern w:val="0"/>
                <w:sz w:val="24"/>
                <w:szCs w:val="24"/>
                <w14:ligatures w14:val="none"/>
              </w:rPr>
              <w:t>Fertigpen</w:t>
            </w:r>
            <w:proofErr w:type="spellEnd"/>
            <w:r w:rsidRPr="00565540">
              <w:rPr>
                <w:rFonts w:ascii="Arial" w:eastAsia="Calibri" w:hAnsi="Arial" w:cs="Arial"/>
                <w:bCs/>
                <w:kern w:val="0"/>
                <w:sz w:val="24"/>
                <w:szCs w:val="24"/>
                <w14:ligatures w14:val="none"/>
              </w:rPr>
              <w:t xml:space="preserve"> zum Einsatz kommt </w:t>
            </w:r>
          </w:p>
        </w:tc>
      </w:tr>
    </w:tbl>
    <w:p w14:paraId="5ECD420A" w14:textId="77777777" w:rsidR="00565540" w:rsidRPr="00632388" w:rsidRDefault="00565540" w:rsidP="00632388">
      <w:pPr>
        <w:spacing w:before="120" w:after="120"/>
        <w:rPr>
          <w:rFonts w:ascii="Arial" w:hAnsi="Arial" w:cs="Arial"/>
          <w:bCs/>
          <w:sz w:val="24"/>
          <w:szCs w:val="24"/>
        </w:rPr>
      </w:pPr>
    </w:p>
    <w:sectPr w:rsidR="00565540" w:rsidRPr="00632388" w:rsidSect="00565540">
      <w:headerReference w:type="default" r:id="rId7"/>
      <w:pgSz w:w="11906" w:h="16838" w:code="9"/>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iraSansCondensed-Medium">
    <w:altName w:val="Calibri"/>
    <w:charset w:val="4D"/>
    <w:family w:val="auto"/>
    <w:pitch w:val="default"/>
    <w:sig w:usb0="00000003" w:usb1="00000000" w:usb2="00000000" w:usb3="00000000" w:csb0="00000001"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01023BBA" w:rsidR="00095CFC" w:rsidRPr="00AD651E" w:rsidRDefault="00936775"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18</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652727">
            <w:rPr>
              <w:rFonts w:ascii="Interstate Cond" w:hAnsi="Interstate Cond"/>
              <w:b/>
              <w:color w:val="FFFFFF" w:themeColor="background1"/>
              <w:sz w:val="32"/>
            </w:rPr>
            <w:t>4</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2091446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47A60"/>
    <w:multiLevelType w:val="hybridMultilevel"/>
    <w:tmpl w:val="FD066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8740F0"/>
    <w:multiLevelType w:val="hybridMultilevel"/>
    <w:tmpl w:val="FE48BC6E"/>
    <w:lvl w:ilvl="0" w:tplc="7C9E44BC">
      <w:start w:val="1"/>
      <w:numFmt w:val="bullet"/>
      <w:pStyle w:val="10AuflistungPfeilUF2"/>
      <w:lvlText w:val="→"/>
      <w:lvlJc w:val="left"/>
      <w:pPr>
        <w:ind w:left="360" w:hanging="360"/>
      </w:pPr>
      <w:rPr>
        <w:rFonts w:ascii="Calibri" w:hAnsi="Calibri" w:hint="default"/>
        <w:caps w:val="0"/>
        <w:strike w:val="0"/>
        <w:dstrike w:val="0"/>
        <w:spacing w:val="0"/>
        <w:w w:val="100"/>
        <w:kern w:val="0"/>
        <w:position w:val="0"/>
        <w:u w:color="ED7D31" w:themeColor="accent2"/>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DB5623"/>
    <w:multiLevelType w:val="hybridMultilevel"/>
    <w:tmpl w:val="63368F86"/>
    <w:lvl w:ilvl="0" w:tplc="D5B2BC14">
      <w:start w:val="1"/>
      <w:numFmt w:val="bullet"/>
      <w:lvlText w:val="→"/>
      <w:lvlJc w:val="left"/>
      <w:pPr>
        <w:ind w:left="710" w:hanging="360"/>
      </w:pPr>
      <w:rPr>
        <w:rFonts w:ascii="Calibri" w:hAnsi="Calibri" w:hint="default"/>
        <w:caps w:val="0"/>
        <w:strike w:val="0"/>
        <w:dstrike w:val="0"/>
        <w:spacing w:val="0"/>
        <w:w w:val="100"/>
        <w:kern w:val="0"/>
        <w:position w:val="0"/>
        <w:u w:color="ED7D31" w:themeColor="accent2"/>
        <w:vertAlign w:val="baseline"/>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1"/>
  </w:num>
  <w:num w:numId="2" w16cid:durableId="1667436405">
    <w:abstractNumId w:val="21"/>
  </w:num>
  <w:num w:numId="3" w16cid:durableId="1489901206">
    <w:abstractNumId w:val="24"/>
  </w:num>
  <w:num w:numId="4" w16cid:durableId="347487071">
    <w:abstractNumId w:val="12"/>
  </w:num>
  <w:num w:numId="5" w16cid:durableId="1797259768">
    <w:abstractNumId w:val="6"/>
  </w:num>
  <w:num w:numId="6" w16cid:durableId="382026321">
    <w:abstractNumId w:val="9"/>
  </w:num>
  <w:num w:numId="7" w16cid:durableId="1689794066">
    <w:abstractNumId w:val="14"/>
  </w:num>
  <w:num w:numId="8" w16cid:durableId="1879587828">
    <w:abstractNumId w:val="13"/>
  </w:num>
  <w:num w:numId="9" w16cid:durableId="1300964876">
    <w:abstractNumId w:val="10"/>
  </w:num>
  <w:num w:numId="10" w16cid:durableId="595290535">
    <w:abstractNumId w:val="5"/>
  </w:num>
  <w:num w:numId="11" w16cid:durableId="97411375">
    <w:abstractNumId w:val="22"/>
  </w:num>
  <w:num w:numId="12" w16cid:durableId="890846888">
    <w:abstractNumId w:val="16"/>
  </w:num>
  <w:num w:numId="13" w16cid:durableId="924460106">
    <w:abstractNumId w:val="17"/>
  </w:num>
  <w:num w:numId="14" w16cid:durableId="1048651771">
    <w:abstractNumId w:val="15"/>
  </w:num>
  <w:num w:numId="15" w16cid:durableId="1578401136">
    <w:abstractNumId w:val="18"/>
  </w:num>
  <w:num w:numId="16" w16cid:durableId="1207185062">
    <w:abstractNumId w:val="19"/>
  </w:num>
  <w:num w:numId="17" w16cid:durableId="1417631617">
    <w:abstractNumId w:val="20"/>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233011220">
    <w:abstractNumId w:val="23"/>
  </w:num>
  <w:num w:numId="24" w16cid:durableId="1757170289">
    <w:abstractNumId w:val="8"/>
  </w:num>
  <w:num w:numId="25" w16cid:durableId="258219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2347D"/>
    <w:rsid w:val="00540062"/>
    <w:rsid w:val="00551B88"/>
    <w:rsid w:val="00565540"/>
    <w:rsid w:val="00581B4B"/>
    <w:rsid w:val="00587D31"/>
    <w:rsid w:val="00614D0A"/>
    <w:rsid w:val="00632388"/>
    <w:rsid w:val="00652727"/>
    <w:rsid w:val="00653E72"/>
    <w:rsid w:val="00661981"/>
    <w:rsid w:val="006738F5"/>
    <w:rsid w:val="006A5CFE"/>
    <w:rsid w:val="006B0218"/>
    <w:rsid w:val="006E18EF"/>
    <w:rsid w:val="006F7D13"/>
    <w:rsid w:val="007522A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6775"/>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465D7"/>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936775"/>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Vorspann">
    <w:name w:val="05 Vorspann"/>
    <w:basedOn w:val="Standard"/>
    <w:qFormat/>
    <w:rsid w:val="00936775"/>
    <w:pPr>
      <w:spacing w:after="0" w:line="240" w:lineRule="auto"/>
    </w:pPr>
    <w:rPr>
      <w:rFonts w:ascii="Arial" w:eastAsiaTheme="minorHAnsi" w:hAnsi="Arial" w:cs="Arial"/>
      <w:color w:val="5C626B"/>
      <w:kern w:val="2"/>
      <w:sz w:val="20"/>
      <w:szCs w:val="20"/>
      <w14:ligatures w14:val="standardContextual"/>
    </w:rPr>
  </w:style>
  <w:style w:type="paragraph" w:customStyle="1" w:styleId="06Flietext">
    <w:name w:val="06 Fließtext"/>
    <w:basedOn w:val="Standard"/>
    <w:qFormat/>
    <w:rsid w:val="00936775"/>
    <w:pPr>
      <w:spacing w:after="120" w:line="240" w:lineRule="auto"/>
      <w:jc w:val="both"/>
    </w:pPr>
    <w:rPr>
      <w:rFonts w:ascii="Arial" w:eastAsiaTheme="minorHAnsi" w:hAnsi="Arial" w:cs="Arial"/>
      <w:kern w:val="2"/>
      <w:sz w:val="20"/>
      <w:szCs w:val="20"/>
      <w14:ligatures w14:val="standardContextual"/>
    </w:rPr>
  </w:style>
  <w:style w:type="paragraph" w:customStyle="1" w:styleId="16TabelleKopf">
    <w:name w:val="16 Tabelle Kopf"/>
    <w:basedOn w:val="Standard"/>
    <w:qFormat/>
    <w:rsid w:val="00936775"/>
    <w:pPr>
      <w:keepNext/>
      <w:keepLines/>
      <w:autoSpaceDE w:val="0"/>
      <w:autoSpaceDN w:val="0"/>
      <w:adjustRightInd w:val="0"/>
      <w:spacing w:after="0" w:line="280" w:lineRule="atLeast"/>
      <w:textAlignment w:val="center"/>
    </w:pPr>
    <w:rPr>
      <w:rFonts w:ascii="Arial Narrow" w:eastAsiaTheme="minorHAnsi" w:hAnsi="Arial Narrow" w:cs="FiraSansCondensed-Medium"/>
      <w:color w:val="FFFFFF"/>
      <w:sz w:val="20"/>
      <w:szCs w:val="20"/>
      <w:lang w:val="en-US"/>
      <w14:ligatures w14:val="standardContextual"/>
    </w:rPr>
  </w:style>
  <w:style w:type="paragraph" w:customStyle="1" w:styleId="06FlietextUF2">
    <w:name w:val="06 Fließtext UF 2"/>
    <w:basedOn w:val="Standard"/>
    <w:autoRedefine/>
    <w:qFormat/>
    <w:rsid w:val="00936775"/>
    <w:pPr>
      <w:spacing w:after="120" w:line="288" w:lineRule="auto"/>
      <w:jc w:val="both"/>
    </w:pPr>
    <w:rPr>
      <w:rFonts w:ascii="Arial" w:eastAsia="Times New Roman" w:hAnsi="Arial"/>
      <w:spacing w:val="-6"/>
      <w:w w:val="99"/>
      <w:kern w:val="2"/>
      <w:sz w:val="20"/>
      <w:szCs w:val="20"/>
      <w14:ligatures w14:val="standardContextual"/>
    </w:rPr>
  </w:style>
  <w:style w:type="character" w:styleId="Kommentarzeichen">
    <w:name w:val="annotation reference"/>
    <w:basedOn w:val="Absatz-Standardschriftart"/>
    <w:uiPriority w:val="99"/>
    <w:semiHidden/>
    <w:unhideWhenUsed/>
    <w:rsid w:val="006738F5"/>
    <w:rPr>
      <w:sz w:val="16"/>
      <w:szCs w:val="16"/>
    </w:rPr>
  </w:style>
  <w:style w:type="paragraph" w:styleId="Kommentartext">
    <w:name w:val="annotation text"/>
    <w:basedOn w:val="Standard"/>
    <w:link w:val="KommentartextZchn"/>
    <w:uiPriority w:val="99"/>
    <w:unhideWhenUsed/>
    <w:rsid w:val="006738F5"/>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KommentartextZchn">
    <w:name w:val="Kommentartext Zchn"/>
    <w:basedOn w:val="Absatz-Standardschriftart"/>
    <w:link w:val="Kommentartext"/>
    <w:uiPriority w:val="99"/>
    <w:rsid w:val="006738F5"/>
    <w:rPr>
      <w:rFonts w:asciiTheme="minorHAnsi" w:eastAsiaTheme="minorHAnsi" w:hAnsiTheme="minorHAnsi" w:cstheme="minorBidi"/>
      <w:kern w:val="2"/>
      <w:lang w:eastAsia="en-US"/>
      <w14:ligatures w14:val="standardContextual"/>
    </w:rPr>
  </w:style>
  <w:style w:type="paragraph" w:customStyle="1" w:styleId="10AuflistungPfeilUF2">
    <w:name w:val="10 Auflistung Pfeil UF 2"/>
    <w:basedOn w:val="Standard"/>
    <w:autoRedefine/>
    <w:qFormat/>
    <w:rsid w:val="00632388"/>
    <w:pPr>
      <w:numPr>
        <w:numId w:val="24"/>
      </w:numPr>
      <w:spacing w:after="120" w:line="288" w:lineRule="auto"/>
    </w:pPr>
    <w:rPr>
      <w:rFonts w:ascii="Arial" w:eastAsia="Times New Roman" w:hAnsi="Arial"/>
      <w:spacing w:val="-6"/>
      <w:w w:val="97"/>
      <w:kern w:val="2"/>
      <w:sz w:val="19"/>
      <w:szCs w:val="20"/>
      <w:shd w:val="clear" w:color="auto" w:fill="FFFFFF" w:themeFill="background1"/>
      <w14:ligatures w14:val="standardContextual"/>
    </w:rPr>
  </w:style>
  <w:style w:type="paragraph" w:customStyle="1" w:styleId="08Zgelbuntergeordnet">
    <w:name w:val="08 ZÜ gelb untergeordnet"/>
    <w:basedOn w:val="Standard"/>
    <w:qFormat/>
    <w:rsid w:val="00565540"/>
    <w:pPr>
      <w:spacing w:before="120" w:after="120" w:line="240" w:lineRule="auto"/>
    </w:pPr>
    <w:rPr>
      <w:rFonts w:ascii="Arial Narrow" w:eastAsiaTheme="minorHAnsi" w:hAnsi="Arial Narrow" w:cstheme="minorBidi"/>
      <w:b/>
      <w:bCs/>
      <w:color w:val="D98329"/>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2024-08-21T10:06:00Z</dcterms:created>
  <dcterms:modified xsi:type="dcterms:W3CDTF">2024-08-21T10:06:00Z</dcterms:modified>
</cp:coreProperties>
</file>