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1" w14:textId="77777777" w:rsidR="007A7CA7" w:rsidRDefault="007A7CA7" w:rsidP="00581B4B"/>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88"/>
        <w:gridCol w:w="2833"/>
        <w:gridCol w:w="3543"/>
      </w:tblGrid>
      <w:tr w:rsidR="0058582A" w:rsidRPr="0058582A" w14:paraId="33360AD5" w14:textId="77777777" w:rsidTr="001973FD">
        <w:trPr>
          <w:trHeight w:val="218"/>
          <w:jc w:val="center"/>
        </w:trPr>
        <w:tc>
          <w:tcPr>
            <w:tcW w:w="11335" w:type="dxa"/>
            <w:gridSpan w:val="4"/>
            <w:shd w:val="clear" w:color="auto" w:fill="0790CF"/>
          </w:tcPr>
          <w:p w14:paraId="1386BE0F" w14:textId="541469FC" w:rsidR="0058582A" w:rsidRPr="0058582A" w:rsidRDefault="001973FD" w:rsidP="00CB3B69">
            <w:pPr>
              <w:spacing w:before="120" w:after="120"/>
              <w:rPr>
                <w:rFonts w:ascii="Arial" w:hAnsi="Arial" w:cs="Arial"/>
                <w:b/>
                <w:sz w:val="28"/>
                <w:szCs w:val="28"/>
              </w:rPr>
            </w:pPr>
            <w:r w:rsidRPr="001973FD">
              <w:rPr>
                <w:rFonts w:ascii="Arial" w:hAnsi="Arial" w:cs="Arial"/>
                <w:b/>
                <w:sz w:val="28"/>
                <w:szCs w:val="28"/>
              </w:rPr>
              <w:t>3 Beispiele von interaktiven Lernaktivitäten im Unterricht</w:t>
            </w:r>
          </w:p>
        </w:tc>
      </w:tr>
      <w:tr w:rsidR="001973FD" w:rsidRPr="001902EA" w14:paraId="4915D067" w14:textId="77777777" w:rsidTr="001902EA">
        <w:trPr>
          <w:trHeight w:val="218"/>
          <w:jc w:val="center"/>
        </w:trPr>
        <w:tc>
          <w:tcPr>
            <w:tcW w:w="1271" w:type="dxa"/>
            <w:shd w:val="clear" w:color="auto" w:fill="E4AA6A"/>
          </w:tcPr>
          <w:p w14:paraId="284ADB5A" w14:textId="4FEA3760" w:rsidR="001973FD" w:rsidRPr="001902EA" w:rsidRDefault="001973FD" w:rsidP="001902EA">
            <w:pPr>
              <w:spacing w:before="120" w:after="120" w:line="240" w:lineRule="auto"/>
              <w:rPr>
                <w:rFonts w:ascii="Arial" w:hAnsi="Arial" w:cs="Arial"/>
                <w:b/>
              </w:rPr>
            </w:pPr>
            <w:r w:rsidRPr="001902EA">
              <w:rPr>
                <w:rFonts w:ascii="Arial" w:hAnsi="Arial" w:cs="Arial"/>
                <w:b/>
              </w:rPr>
              <w:t>Beispiel</w:t>
            </w:r>
          </w:p>
        </w:tc>
        <w:tc>
          <w:tcPr>
            <w:tcW w:w="3688" w:type="dxa"/>
            <w:shd w:val="clear" w:color="auto" w:fill="E4AA6A"/>
          </w:tcPr>
          <w:p w14:paraId="5ACDCBAF" w14:textId="455C13DE" w:rsidR="001973FD" w:rsidRPr="001902EA" w:rsidRDefault="001973FD" w:rsidP="001902EA">
            <w:pPr>
              <w:spacing w:before="120" w:after="120" w:line="240" w:lineRule="auto"/>
              <w:rPr>
                <w:rFonts w:ascii="Arial" w:hAnsi="Arial" w:cs="Arial"/>
                <w:b/>
              </w:rPr>
            </w:pPr>
            <w:r w:rsidRPr="001902EA">
              <w:rPr>
                <w:rFonts w:ascii="Arial" w:hAnsi="Arial" w:cs="Arial"/>
                <w:b/>
              </w:rPr>
              <w:t>Phase 1</w:t>
            </w:r>
          </w:p>
        </w:tc>
        <w:tc>
          <w:tcPr>
            <w:tcW w:w="2833" w:type="dxa"/>
            <w:shd w:val="clear" w:color="auto" w:fill="E4AA6A"/>
          </w:tcPr>
          <w:p w14:paraId="240BD710" w14:textId="6E8B1299" w:rsidR="001973FD" w:rsidRPr="001902EA" w:rsidRDefault="001973FD" w:rsidP="001902EA">
            <w:pPr>
              <w:spacing w:before="120" w:after="120" w:line="240" w:lineRule="auto"/>
              <w:rPr>
                <w:rFonts w:ascii="Arial" w:hAnsi="Arial" w:cs="Arial"/>
                <w:b/>
              </w:rPr>
            </w:pPr>
            <w:r w:rsidRPr="001902EA">
              <w:rPr>
                <w:rFonts w:ascii="Arial" w:hAnsi="Arial" w:cs="Arial"/>
                <w:b/>
              </w:rPr>
              <w:t>Phase 2</w:t>
            </w:r>
          </w:p>
        </w:tc>
        <w:tc>
          <w:tcPr>
            <w:tcW w:w="3543" w:type="dxa"/>
            <w:shd w:val="clear" w:color="auto" w:fill="E4AA6A"/>
          </w:tcPr>
          <w:p w14:paraId="6C77C036" w14:textId="566C863B" w:rsidR="001973FD" w:rsidRPr="001902EA" w:rsidRDefault="001973FD" w:rsidP="001902EA">
            <w:pPr>
              <w:spacing w:before="120" w:after="120" w:line="240" w:lineRule="auto"/>
              <w:rPr>
                <w:rFonts w:ascii="Arial" w:hAnsi="Arial" w:cs="Arial"/>
                <w:b/>
              </w:rPr>
            </w:pPr>
            <w:r w:rsidRPr="001902EA">
              <w:rPr>
                <w:rFonts w:ascii="Arial" w:hAnsi="Arial" w:cs="Arial"/>
                <w:b/>
              </w:rPr>
              <w:t>Phase 3</w:t>
            </w:r>
          </w:p>
        </w:tc>
      </w:tr>
      <w:tr w:rsidR="001973FD" w:rsidRPr="001973FD" w14:paraId="7548D15F" w14:textId="77777777" w:rsidTr="001902EA">
        <w:trPr>
          <w:trHeight w:val="218"/>
          <w:jc w:val="center"/>
        </w:trPr>
        <w:tc>
          <w:tcPr>
            <w:tcW w:w="1271" w:type="dxa"/>
            <w:shd w:val="clear" w:color="auto" w:fill="auto"/>
          </w:tcPr>
          <w:p w14:paraId="02CC4594" w14:textId="525E71C5" w:rsidR="001973FD" w:rsidRPr="001973FD" w:rsidRDefault="001973FD" w:rsidP="001973FD">
            <w:pPr>
              <w:spacing w:before="120" w:after="120"/>
              <w:rPr>
                <w:rFonts w:ascii="Arial" w:hAnsi="Arial" w:cs="Arial"/>
                <w:szCs w:val="20"/>
              </w:rPr>
            </w:pPr>
            <w:r w:rsidRPr="001973FD">
              <w:rPr>
                <w:rFonts w:ascii="Arial" w:hAnsi="Arial" w:cs="Arial"/>
                <w:szCs w:val="20"/>
              </w:rPr>
              <w:t>Beispiel 1:</w:t>
            </w:r>
            <w:r w:rsidRPr="001973FD">
              <w:rPr>
                <w:rFonts w:ascii="Arial" w:hAnsi="Arial" w:cs="Arial"/>
                <w:szCs w:val="20"/>
              </w:rPr>
              <w:t xml:space="preserve"> </w:t>
            </w:r>
            <w:r w:rsidRPr="001973FD">
              <w:rPr>
                <w:rFonts w:ascii="Arial" w:hAnsi="Arial" w:cs="Arial"/>
                <w:szCs w:val="20"/>
              </w:rPr>
              <w:t>Interaktive</w:t>
            </w:r>
            <w:r w:rsidRPr="001973FD">
              <w:rPr>
                <w:rFonts w:ascii="Arial" w:hAnsi="Arial" w:cs="Arial"/>
                <w:szCs w:val="20"/>
              </w:rPr>
              <w:t xml:space="preserve"> </w:t>
            </w:r>
            <w:r w:rsidRPr="001973FD">
              <w:rPr>
                <w:rFonts w:ascii="Arial" w:hAnsi="Arial" w:cs="Arial"/>
                <w:szCs w:val="20"/>
              </w:rPr>
              <w:t>Diskus</w:t>
            </w:r>
            <w:r w:rsidR="001902EA">
              <w:rPr>
                <w:rFonts w:ascii="Arial" w:hAnsi="Arial" w:cs="Arial"/>
                <w:szCs w:val="20"/>
              </w:rPr>
              <w:t>-</w:t>
            </w:r>
            <w:proofErr w:type="spellStart"/>
            <w:r w:rsidRPr="001973FD">
              <w:rPr>
                <w:rFonts w:ascii="Arial" w:hAnsi="Arial" w:cs="Arial"/>
                <w:szCs w:val="20"/>
              </w:rPr>
              <w:t>sion</w:t>
            </w:r>
            <w:proofErr w:type="spellEnd"/>
            <w:r w:rsidRPr="001973FD">
              <w:rPr>
                <w:rFonts w:ascii="Arial" w:hAnsi="Arial" w:cs="Arial"/>
                <w:szCs w:val="20"/>
              </w:rPr>
              <w:t xml:space="preserve"> </w:t>
            </w:r>
            <w:r w:rsidRPr="001973FD">
              <w:rPr>
                <w:rFonts w:ascii="Arial" w:hAnsi="Arial" w:cs="Arial"/>
                <w:szCs w:val="20"/>
              </w:rPr>
              <w:t>über historische</w:t>
            </w:r>
            <w:r w:rsidRPr="001973FD">
              <w:rPr>
                <w:rFonts w:ascii="Arial" w:hAnsi="Arial" w:cs="Arial"/>
                <w:szCs w:val="20"/>
              </w:rPr>
              <w:t xml:space="preserve"> </w:t>
            </w:r>
            <w:r w:rsidRPr="001973FD">
              <w:rPr>
                <w:rFonts w:ascii="Arial" w:hAnsi="Arial" w:cs="Arial"/>
                <w:szCs w:val="20"/>
              </w:rPr>
              <w:t>Ereignisse</w:t>
            </w:r>
          </w:p>
        </w:tc>
        <w:tc>
          <w:tcPr>
            <w:tcW w:w="3688" w:type="dxa"/>
            <w:shd w:val="clear" w:color="auto" w:fill="auto"/>
          </w:tcPr>
          <w:p w14:paraId="7195FEE7" w14:textId="7699021B" w:rsidR="001973FD" w:rsidRPr="001973FD" w:rsidRDefault="001973FD" w:rsidP="001973FD">
            <w:pPr>
              <w:spacing w:before="120" w:after="120"/>
              <w:rPr>
                <w:rFonts w:ascii="Arial" w:hAnsi="Arial" w:cs="Arial"/>
                <w:szCs w:val="20"/>
              </w:rPr>
            </w:pPr>
            <w:r w:rsidRPr="001973FD">
              <w:rPr>
                <w:rFonts w:ascii="Arial" w:hAnsi="Arial" w:cs="Arial"/>
                <w:szCs w:val="20"/>
              </w:rPr>
              <w:t xml:space="preserve">Ihre </w:t>
            </w:r>
            <w:proofErr w:type="spellStart"/>
            <w:r w:rsidRPr="001973FD">
              <w:rPr>
                <w:rFonts w:ascii="Arial" w:hAnsi="Arial" w:cs="Arial"/>
                <w:szCs w:val="20"/>
              </w:rPr>
              <w:t>SuS</w:t>
            </w:r>
            <w:proofErr w:type="spellEnd"/>
            <w:r w:rsidRPr="001973FD">
              <w:rPr>
                <w:rFonts w:ascii="Arial" w:hAnsi="Arial" w:cs="Arial"/>
                <w:szCs w:val="20"/>
              </w:rPr>
              <w:t xml:space="preserve"> werden in Gruppen eingeteilt und erhalten jeweils ein digitales Whiteboard-Tool wie </w:t>
            </w:r>
            <w:proofErr w:type="spellStart"/>
            <w:r w:rsidRPr="001973FD">
              <w:rPr>
                <w:rFonts w:ascii="Arial" w:hAnsi="Arial" w:cs="Arial"/>
                <w:szCs w:val="20"/>
              </w:rPr>
              <w:t>Jamboard</w:t>
            </w:r>
            <w:proofErr w:type="spellEnd"/>
            <w:r w:rsidRPr="001973FD">
              <w:rPr>
                <w:rFonts w:ascii="Arial" w:hAnsi="Arial" w:cs="Arial"/>
                <w:szCs w:val="20"/>
              </w:rPr>
              <w:t xml:space="preserve"> oder </w:t>
            </w:r>
            <w:proofErr w:type="spellStart"/>
            <w:r w:rsidRPr="001973FD">
              <w:rPr>
                <w:rFonts w:ascii="Arial" w:hAnsi="Arial" w:cs="Arial"/>
                <w:szCs w:val="20"/>
              </w:rPr>
              <w:t>Padlet</w:t>
            </w:r>
            <w:proofErr w:type="spellEnd"/>
            <w:r w:rsidRPr="001973FD">
              <w:rPr>
                <w:rFonts w:ascii="Arial" w:hAnsi="Arial" w:cs="Arial"/>
                <w:szCs w:val="20"/>
              </w:rPr>
              <w:t xml:space="preserve">. Jede Gruppe bekommt eine Liste historischer Ereignisse, z. B. den Zweiten Weltkrieg, die </w:t>
            </w:r>
            <w:proofErr w:type="spellStart"/>
            <w:r w:rsidRPr="001973FD">
              <w:rPr>
                <w:rFonts w:ascii="Arial" w:hAnsi="Arial" w:cs="Arial"/>
                <w:szCs w:val="20"/>
              </w:rPr>
              <w:t>Industrielle</w:t>
            </w:r>
            <w:proofErr w:type="spellEnd"/>
            <w:r w:rsidRPr="001973FD">
              <w:rPr>
                <w:rFonts w:ascii="Arial" w:hAnsi="Arial" w:cs="Arial"/>
                <w:szCs w:val="20"/>
              </w:rPr>
              <w:t xml:space="preserve"> Revolution oder die Französische Revolution. Ihre </w:t>
            </w:r>
            <w:proofErr w:type="spellStart"/>
            <w:r w:rsidRPr="001973FD">
              <w:rPr>
                <w:rFonts w:ascii="Arial" w:hAnsi="Arial" w:cs="Arial"/>
                <w:szCs w:val="20"/>
              </w:rPr>
              <w:t>SuS</w:t>
            </w:r>
            <w:proofErr w:type="spellEnd"/>
            <w:r w:rsidRPr="001973FD">
              <w:rPr>
                <w:rFonts w:ascii="Arial" w:hAnsi="Arial" w:cs="Arial"/>
                <w:szCs w:val="20"/>
              </w:rPr>
              <w:t xml:space="preserve"> recherchieren gemeinsam und erstellen auf ihrem digitalen Whiteboard eine </w:t>
            </w:r>
            <w:proofErr w:type="spellStart"/>
            <w:r w:rsidRPr="001973FD">
              <w:rPr>
                <w:rFonts w:ascii="Arial" w:hAnsi="Arial" w:cs="Arial"/>
                <w:szCs w:val="20"/>
              </w:rPr>
              <w:t>Zusam</w:t>
            </w:r>
            <w:r w:rsidR="001902EA">
              <w:rPr>
                <w:rFonts w:ascii="Arial" w:hAnsi="Arial" w:cs="Arial"/>
                <w:szCs w:val="20"/>
              </w:rPr>
              <w:t>-</w:t>
            </w:r>
            <w:r w:rsidRPr="001973FD">
              <w:rPr>
                <w:rFonts w:ascii="Arial" w:hAnsi="Arial" w:cs="Arial"/>
                <w:szCs w:val="20"/>
              </w:rPr>
              <w:t>menfassung</w:t>
            </w:r>
            <w:proofErr w:type="spellEnd"/>
            <w:r w:rsidRPr="001973FD">
              <w:rPr>
                <w:rFonts w:ascii="Arial" w:hAnsi="Arial" w:cs="Arial"/>
                <w:szCs w:val="20"/>
              </w:rPr>
              <w:t xml:space="preserve"> des jeweiligen </w:t>
            </w:r>
            <w:proofErr w:type="spellStart"/>
            <w:r w:rsidRPr="001973FD">
              <w:rPr>
                <w:rFonts w:ascii="Arial" w:hAnsi="Arial" w:cs="Arial"/>
                <w:szCs w:val="20"/>
              </w:rPr>
              <w:t>Ereig</w:t>
            </w:r>
            <w:r w:rsidR="001902EA">
              <w:rPr>
                <w:rFonts w:ascii="Arial" w:hAnsi="Arial" w:cs="Arial"/>
                <w:szCs w:val="20"/>
              </w:rPr>
              <w:t>-</w:t>
            </w:r>
            <w:r w:rsidRPr="001973FD">
              <w:rPr>
                <w:rFonts w:ascii="Arial" w:hAnsi="Arial" w:cs="Arial"/>
                <w:szCs w:val="20"/>
              </w:rPr>
              <w:t>nisses</w:t>
            </w:r>
            <w:proofErr w:type="spellEnd"/>
            <w:r w:rsidRPr="001973FD">
              <w:rPr>
                <w:rFonts w:ascii="Arial" w:hAnsi="Arial" w:cs="Arial"/>
                <w:szCs w:val="20"/>
              </w:rPr>
              <w:t>, einschließlich wichtiger Da</w:t>
            </w:r>
            <w:r w:rsidR="001902EA">
              <w:rPr>
                <w:rFonts w:ascii="Arial" w:hAnsi="Arial" w:cs="Arial"/>
                <w:szCs w:val="20"/>
              </w:rPr>
              <w:t>-</w:t>
            </w:r>
            <w:proofErr w:type="spellStart"/>
            <w:r w:rsidRPr="001973FD">
              <w:rPr>
                <w:rFonts w:ascii="Arial" w:hAnsi="Arial" w:cs="Arial"/>
                <w:szCs w:val="20"/>
              </w:rPr>
              <w:t>ten</w:t>
            </w:r>
            <w:proofErr w:type="spellEnd"/>
            <w:r w:rsidRPr="001973FD">
              <w:rPr>
                <w:rFonts w:ascii="Arial" w:hAnsi="Arial" w:cs="Arial"/>
                <w:szCs w:val="20"/>
              </w:rPr>
              <w:t>, Ursachen und Auswirkungen.</w:t>
            </w:r>
          </w:p>
        </w:tc>
        <w:tc>
          <w:tcPr>
            <w:tcW w:w="2833" w:type="dxa"/>
            <w:shd w:val="clear" w:color="auto" w:fill="auto"/>
          </w:tcPr>
          <w:p w14:paraId="2260D058" w14:textId="66F2B7C6" w:rsidR="001973FD" w:rsidRPr="001973FD" w:rsidRDefault="001973FD" w:rsidP="001973FD">
            <w:pPr>
              <w:spacing w:before="120" w:after="120"/>
              <w:rPr>
                <w:rFonts w:ascii="Arial" w:hAnsi="Arial" w:cs="Arial"/>
                <w:szCs w:val="20"/>
              </w:rPr>
            </w:pPr>
            <w:r w:rsidRPr="001973FD">
              <w:rPr>
                <w:rFonts w:ascii="Arial" w:hAnsi="Arial" w:cs="Arial"/>
                <w:szCs w:val="20"/>
              </w:rPr>
              <w:t xml:space="preserve">Die Gruppen präsentieren ihre Zusammenfassungen den anderen Gruppen. Während der </w:t>
            </w:r>
            <w:proofErr w:type="spellStart"/>
            <w:r w:rsidRPr="001973FD">
              <w:rPr>
                <w:rFonts w:ascii="Arial" w:hAnsi="Arial" w:cs="Arial"/>
                <w:szCs w:val="20"/>
              </w:rPr>
              <w:t>Präsenta</w:t>
            </w:r>
            <w:r w:rsidR="001902EA">
              <w:rPr>
                <w:rFonts w:ascii="Arial" w:hAnsi="Arial" w:cs="Arial"/>
                <w:szCs w:val="20"/>
              </w:rPr>
              <w:t>-</w:t>
            </w:r>
            <w:r w:rsidRPr="001973FD">
              <w:rPr>
                <w:rFonts w:ascii="Arial" w:hAnsi="Arial" w:cs="Arial"/>
                <w:szCs w:val="20"/>
              </w:rPr>
              <w:t>tionen</w:t>
            </w:r>
            <w:proofErr w:type="spellEnd"/>
            <w:r w:rsidRPr="001973FD">
              <w:rPr>
                <w:rFonts w:ascii="Arial" w:hAnsi="Arial" w:cs="Arial"/>
                <w:szCs w:val="20"/>
              </w:rPr>
              <w:t xml:space="preserve"> werden Fragen gestellt und Diskussionen angeregt, um ein tiefgreifendes Verständnis der Ereignisse zu fördern. Die anderen </w:t>
            </w:r>
            <w:proofErr w:type="spellStart"/>
            <w:r w:rsidRPr="001973FD">
              <w:rPr>
                <w:rFonts w:ascii="Arial" w:hAnsi="Arial" w:cs="Arial"/>
                <w:szCs w:val="20"/>
              </w:rPr>
              <w:t>SuS</w:t>
            </w:r>
            <w:proofErr w:type="spellEnd"/>
            <w:r w:rsidRPr="001973FD">
              <w:rPr>
                <w:rFonts w:ascii="Arial" w:hAnsi="Arial" w:cs="Arial"/>
                <w:szCs w:val="20"/>
              </w:rPr>
              <w:t xml:space="preserve"> können Kommentare hinterlassen und Fragen stellen, um die Präsentation zu ergänzen oder zu hinterfragen.</w:t>
            </w:r>
          </w:p>
        </w:tc>
        <w:tc>
          <w:tcPr>
            <w:tcW w:w="3543" w:type="dxa"/>
            <w:shd w:val="clear" w:color="auto" w:fill="auto"/>
          </w:tcPr>
          <w:p w14:paraId="77258413" w14:textId="7E09C1DF" w:rsidR="001973FD" w:rsidRPr="001973FD" w:rsidRDefault="001973FD" w:rsidP="001973FD">
            <w:pPr>
              <w:spacing w:before="120" w:after="120"/>
              <w:rPr>
                <w:rFonts w:ascii="Arial" w:hAnsi="Arial" w:cs="Arial"/>
                <w:szCs w:val="20"/>
              </w:rPr>
            </w:pPr>
            <w:r w:rsidRPr="001973FD">
              <w:rPr>
                <w:rFonts w:ascii="Arial" w:hAnsi="Arial" w:cs="Arial"/>
                <w:szCs w:val="20"/>
              </w:rPr>
              <w:t>Nach den Präsentationen überarbeiten die Gruppen ihre Zusammenfassungen basierend auf dem erhaltenen Feedback. Sie können zusätzliche Informationen hin-zufügen oder ihre Darstellung verbessern. Abschließend werden die überarbeiteten Zusammenfassungen erneut präsentiert und diskutiert.</w:t>
            </w:r>
          </w:p>
        </w:tc>
      </w:tr>
      <w:tr w:rsidR="001973FD" w:rsidRPr="001973FD" w14:paraId="4DD1664A" w14:textId="77777777" w:rsidTr="001902EA">
        <w:trPr>
          <w:trHeight w:val="218"/>
          <w:jc w:val="center"/>
        </w:trPr>
        <w:tc>
          <w:tcPr>
            <w:tcW w:w="1271" w:type="dxa"/>
            <w:shd w:val="clear" w:color="auto" w:fill="auto"/>
          </w:tcPr>
          <w:p w14:paraId="327E77E5" w14:textId="75978F39" w:rsidR="001973FD" w:rsidRPr="001973FD" w:rsidRDefault="001973FD" w:rsidP="001973FD">
            <w:pPr>
              <w:spacing w:before="120" w:after="120"/>
              <w:rPr>
                <w:rFonts w:ascii="Arial" w:hAnsi="Arial" w:cs="Arial"/>
                <w:szCs w:val="20"/>
              </w:rPr>
            </w:pPr>
            <w:r w:rsidRPr="001973FD">
              <w:rPr>
                <w:rFonts w:ascii="Arial" w:hAnsi="Arial" w:cs="Arial"/>
                <w:szCs w:val="20"/>
              </w:rPr>
              <w:t>Beispiel 2:</w:t>
            </w:r>
            <w:r w:rsidRPr="001973FD">
              <w:rPr>
                <w:rFonts w:ascii="Arial" w:hAnsi="Arial" w:cs="Arial"/>
                <w:szCs w:val="20"/>
              </w:rPr>
              <w:t xml:space="preserve"> </w:t>
            </w:r>
            <w:proofErr w:type="spellStart"/>
            <w:r w:rsidRPr="001973FD">
              <w:rPr>
                <w:rFonts w:ascii="Arial" w:hAnsi="Arial" w:cs="Arial"/>
                <w:szCs w:val="20"/>
              </w:rPr>
              <w:t>Kollabo</w:t>
            </w:r>
            <w:r w:rsidR="001902EA">
              <w:rPr>
                <w:rFonts w:ascii="Arial" w:hAnsi="Arial" w:cs="Arial"/>
                <w:szCs w:val="20"/>
              </w:rPr>
              <w:t>-</w:t>
            </w:r>
            <w:r w:rsidRPr="001973FD">
              <w:rPr>
                <w:rFonts w:ascii="Arial" w:hAnsi="Arial" w:cs="Arial"/>
                <w:szCs w:val="20"/>
              </w:rPr>
              <w:t>rative</w:t>
            </w:r>
            <w:proofErr w:type="spellEnd"/>
            <w:r w:rsidRPr="001973FD">
              <w:rPr>
                <w:rFonts w:ascii="Arial" w:hAnsi="Arial" w:cs="Arial"/>
                <w:szCs w:val="20"/>
              </w:rPr>
              <w:t xml:space="preserve"> </w:t>
            </w:r>
            <w:r w:rsidRPr="001973FD">
              <w:rPr>
                <w:rFonts w:ascii="Arial" w:hAnsi="Arial" w:cs="Arial"/>
                <w:szCs w:val="20"/>
              </w:rPr>
              <w:t>Problem</w:t>
            </w:r>
            <w:r>
              <w:rPr>
                <w:rFonts w:ascii="Arial" w:hAnsi="Arial" w:cs="Arial"/>
                <w:szCs w:val="20"/>
              </w:rPr>
              <w:t>-</w:t>
            </w:r>
            <w:r w:rsidRPr="001973FD">
              <w:rPr>
                <w:rFonts w:ascii="Arial" w:hAnsi="Arial" w:cs="Arial"/>
                <w:szCs w:val="20"/>
              </w:rPr>
              <w:t>lösung</w:t>
            </w:r>
            <w:r w:rsidRPr="001973FD">
              <w:rPr>
                <w:rFonts w:ascii="Arial" w:hAnsi="Arial" w:cs="Arial"/>
                <w:szCs w:val="20"/>
              </w:rPr>
              <w:t xml:space="preserve"> </w:t>
            </w:r>
            <w:r w:rsidRPr="001973FD">
              <w:rPr>
                <w:rFonts w:ascii="Arial" w:hAnsi="Arial" w:cs="Arial"/>
                <w:szCs w:val="20"/>
              </w:rPr>
              <w:t>in Mathe</w:t>
            </w:r>
            <w:r w:rsidR="001902EA">
              <w:rPr>
                <w:rFonts w:ascii="Arial" w:hAnsi="Arial" w:cs="Arial"/>
                <w:szCs w:val="20"/>
              </w:rPr>
              <w:t>-</w:t>
            </w:r>
            <w:proofErr w:type="spellStart"/>
            <w:r w:rsidRPr="001973FD">
              <w:rPr>
                <w:rFonts w:ascii="Arial" w:hAnsi="Arial" w:cs="Arial"/>
                <w:szCs w:val="20"/>
              </w:rPr>
              <w:t>matik</w:t>
            </w:r>
            <w:proofErr w:type="spellEnd"/>
          </w:p>
        </w:tc>
        <w:tc>
          <w:tcPr>
            <w:tcW w:w="3688" w:type="dxa"/>
            <w:shd w:val="clear" w:color="auto" w:fill="auto"/>
          </w:tcPr>
          <w:p w14:paraId="38CA5ED7" w14:textId="1E2BEB30" w:rsidR="001973FD" w:rsidRPr="001973FD" w:rsidRDefault="001973FD" w:rsidP="001973FD">
            <w:pPr>
              <w:spacing w:before="120" w:after="120"/>
              <w:rPr>
                <w:rFonts w:ascii="Arial" w:hAnsi="Arial" w:cs="Arial"/>
                <w:szCs w:val="20"/>
              </w:rPr>
            </w:pPr>
            <w:r w:rsidRPr="001973FD">
              <w:rPr>
                <w:rFonts w:ascii="Arial" w:hAnsi="Arial" w:cs="Arial"/>
                <w:szCs w:val="20"/>
              </w:rPr>
              <w:t xml:space="preserve">Ihre </w:t>
            </w:r>
            <w:proofErr w:type="spellStart"/>
            <w:r w:rsidRPr="001973FD">
              <w:rPr>
                <w:rFonts w:ascii="Arial" w:hAnsi="Arial" w:cs="Arial"/>
                <w:szCs w:val="20"/>
              </w:rPr>
              <w:t>SuS</w:t>
            </w:r>
            <w:proofErr w:type="spellEnd"/>
            <w:r w:rsidRPr="001973FD">
              <w:rPr>
                <w:rFonts w:ascii="Arial" w:hAnsi="Arial" w:cs="Arial"/>
                <w:szCs w:val="20"/>
              </w:rPr>
              <w:t xml:space="preserve"> arbeiten in Kleingruppen an einer mathematischen Problemstellung, z. B. einer komplexen Textaufgabe oder einem geometrischen Problem. Sie nutzen ein gemeinsames Dokument oder ein Online-Whiteboard, um ihre Ideen festzuhalten und Lösungsansätze zu skizzieren.</w:t>
            </w:r>
          </w:p>
        </w:tc>
        <w:tc>
          <w:tcPr>
            <w:tcW w:w="2833" w:type="dxa"/>
            <w:shd w:val="clear" w:color="auto" w:fill="auto"/>
          </w:tcPr>
          <w:p w14:paraId="46A51EFE" w14:textId="241E4199" w:rsidR="001973FD" w:rsidRPr="001973FD" w:rsidRDefault="001973FD" w:rsidP="001973FD">
            <w:pPr>
              <w:spacing w:before="120" w:after="120"/>
              <w:rPr>
                <w:rFonts w:ascii="Arial" w:hAnsi="Arial" w:cs="Arial"/>
                <w:szCs w:val="20"/>
              </w:rPr>
            </w:pPr>
            <w:r w:rsidRPr="001973FD">
              <w:rPr>
                <w:rFonts w:ascii="Arial" w:hAnsi="Arial" w:cs="Arial"/>
                <w:szCs w:val="20"/>
              </w:rPr>
              <w:t xml:space="preserve">Jede Gruppe präsentiert ihre Lösungsansätze den anderen Gruppen. Während der Präsentation werden potenzielle Lösungs-wege diskutiert und alternative Ansätze vorgeschlagen. Ihre </w:t>
            </w:r>
            <w:proofErr w:type="spellStart"/>
            <w:r w:rsidRPr="001973FD">
              <w:rPr>
                <w:rFonts w:ascii="Arial" w:hAnsi="Arial" w:cs="Arial"/>
                <w:szCs w:val="20"/>
              </w:rPr>
              <w:t>SuS</w:t>
            </w:r>
            <w:proofErr w:type="spellEnd"/>
            <w:r w:rsidRPr="001973FD">
              <w:rPr>
                <w:rFonts w:ascii="Arial" w:hAnsi="Arial" w:cs="Arial"/>
                <w:szCs w:val="20"/>
              </w:rPr>
              <w:t xml:space="preserve"> geben sich gegenseitig konstruktives Feedback und helfen sich bei der Klärung von Unklarheiten.</w:t>
            </w:r>
          </w:p>
        </w:tc>
        <w:tc>
          <w:tcPr>
            <w:tcW w:w="3543" w:type="dxa"/>
            <w:shd w:val="clear" w:color="auto" w:fill="auto"/>
          </w:tcPr>
          <w:p w14:paraId="47A2DBA7" w14:textId="2FF8646E" w:rsidR="001973FD" w:rsidRPr="001973FD" w:rsidRDefault="001973FD" w:rsidP="001973FD">
            <w:pPr>
              <w:spacing w:before="120" w:after="120"/>
              <w:rPr>
                <w:rFonts w:ascii="Arial" w:hAnsi="Arial" w:cs="Arial"/>
                <w:szCs w:val="20"/>
              </w:rPr>
            </w:pPr>
            <w:r w:rsidRPr="001973FD">
              <w:rPr>
                <w:rFonts w:ascii="Arial" w:hAnsi="Arial" w:cs="Arial"/>
                <w:szCs w:val="20"/>
              </w:rPr>
              <w:t>Nach den Präsentationen überarbeiten die Gruppen ihre Lösungsansätze basierend auf dem erhaltenen Feedback. Sie können ihre Lösungen verfeinern, Fehler korrigieren und alternative Lösungswege erkunden. Abschließend werden die überarbeiteten Lösungsansätze erneut präsentiert und diskutiert.</w:t>
            </w:r>
          </w:p>
        </w:tc>
      </w:tr>
      <w:tr w:rsidR="001973FD" w:rsidRPr="001973FD" w14:paraId="1686FDDA" w14:textId="77777777" w:rsidTr="001902EA">
        <w:trPr>
          <w:trHeight w:val="218"/>
          <w:jc w:val="center"/>
        </w:trPr>
        <w:tc>
          <w:tcPr>
            <w:tcW w:w="1271" w:type="dxa"/>
            <w:shd w:val="clear" w:color="auto" w:fill="auto"/>
          </w:tcPr>
          <w:p w14:paraId="14401914" w14:textId="09072987" w:rsidR="001973FD" w:rsidRPr="001973FD" w:rsidRDefault="001973FD" w:rsidP="001973FD">
            <w:pPr>
              <w:spacing w:before="120" w:after="120"/>
              <w:rPr>
                <w:rFonts w:ascii="Arial" w:hAnsi="Arial" w:cs="Arial"/>
                <w:szCs w:val="20"/>
              </w:rPr>
            </w:pPr>
            <w:r w:rsidRPr="001973FD">
              <w:rPr>
                <w:rFonts w:ascii="Arial" w:hAnsi="Arial" w:cs="Arial"/>
                <w:szCs w:val="20"/>
              </w:rPr>
              <w:t>Beispiel 3:</w:t>
            </w:r>
            <w:r w:rsidRPr="001973FD">
              <w:rPr>
                <w:rFonts w:ascii="Arial" w:hAnsi="Arial" w:cs="Arial"/>
                <w:szCs w:val="20"/>
              </w:rPr>
              <w:t xml:space="preserve"> </w:t>
            </w:r>
            <w:r w:rsidRPr="001973FD">
              <w:rPr>
                <w:rFonts w:ascii="Arial" w:hAnsi="Arial" w:cs="Arial"/>
                <w:szCs w:val="20"/>
              </w:rPr>
              <w:t>Gemein</w:t>
            </w:r>
            <w:r w:rsidR="001902EA">
              <w:rPr>
                <w:rFonts w:ascii="Arial" w:hAnsi="Arial" w:cs="Arial"/>
                <w:szCs w:val="20"/>
              </w:rPr>
              <w:t>-</w:t>
            </w:r>
            <w:r w:rsidRPr="001973FD">
              <w:rPr>
                <w:rFonts w:ascii="Arial" w:hAnsi="Arial" w:cs="Arial"/>
                <w:szCs w:val="20"/>
              </w:rPr>
              <w:t>same</w:t>
            </w:r>
            <w:r w:rsidRPr="001973FD">
              <w:rPr>
                <w:rFonts w:ascii="Arial" w:hAnsi="Arial" w:cs="Arial"/>
                <w:szCs w:val="20"/>
              </w:rPr>
              <w:t xml:space="preserve"> </w:t>
            </w:r>
            <w:r w:rsidRPr="001973FD">
              <w:rPr>
                <w:rFonts w:ascii="Arial" w:hAnsi="Arial" w:cs="Arial"/>
                <w:szCs w:val="20"/>
              </w:rPr>
              <w:t>Text</w:t>
            </w:r>
            <w:r w:rsidR="001902EA">
              <w:rPr>
                <w:rFonts w:ascii="Arial" w:hAnsi="Arial" w:cs="Arial"/>
                <w:szCs w:val="20"/>
              </w:rPr>
              <w:t>-</w:t>
            </w:r>
            <w:r w:rsidRPr="001973FD">
              <w:rPr>
                <w:rFonts w:ascii="Arial" w:hAnsi="Arial" w:cs="Arial"/>
                <w:szCs w:val="20"/>
              </w:rPr>
              <w:t>analyse</w:t>
            </w:r>
            <w:r w:rsidRPr="001973FD">
              <w:rPr>
                <w:rFonts w:ascii="Arial" w:hAnsi="Arial" w:cs="Arial"/>
                <w:szCs w:val="20"/>
              </w:rPr>
              <w:t xml:space="preserve"> </w:t>
            </w:r>
            <w:r w:rsidRPr="001973FD">
              <w:rPr>
                <w:rFonts w:ascii="Arial" w:hAnsi="Arial" w:cs="Arial"/>
                <w:szCs w:val="20"/>
              </w:rPr>
              <w:t>in der Sprach</w:t>
            </w:r>
            <w:r w:rsidRPr="001973FD">
              <w:rPr>
                <w:rFonts w:ascii="Arial" w:hAnsi="Arial" w:cs="Arial"/>
                <w:szCs w:val="20"/>
              </w:rPr>
              <w:t xml:space="preserve">- </w:t>
            </w:r>
            <w:r w:rsidRPr="001973FD">
              <w:rPr>
                <w:rFonts w:ascii="Arial" w:hAnsi="Arial" w:cs="Arial"/>
                <w:szCs w:val="20"/>
              </w:rPr>
              <w:t>und</w:t>
            </w:r>
            <w:r w:rsidRPr="001973FD">
              <w:rPr>
                <w:rFonts w:ascii="Arial" w:hAnsi="Arial" w:cs="Arial"/>
                <w:szCs w:val="20"/>
              </w:rPr>
              <w:t xml:space="preserve"> </w:t>
            </w:r>
            <w:r w:rsidRPr="001973FD">
              <w:rPr>
                <w:rFonts w:ascii="Arial" w:hAnsi="Arial" w:cs="Arial"/>
                <w:szCs w:val="20"/>
              </w:rPr>
              <w:t>Literatur</w:t>
            </w:r>
            <w:r w:rsidRPr="001973FD">
              <w:rPr>
                <w:rFonts w:ascii="Arial" w:hAnsi="Arial" w:cs="Arial"/>
                <w:szCs w:val="20"/>
              </w:rPr>
              <w:t>-</w:t>
            </w:r>
            <w:r w:rsidRPr="001973FD">
              <w:rPr>
                <w:rFonts w:ascii="Arial" w:hAnsi="Arial" w:cs="Arial"/>
                <w:szCs w:val="20"/>
              </w:rPr>
              <w:t>wissen</w:t>
            </w:r>
            <w:r w:rsidR="001902EA">
              <w:rPr>
                <w:rFonts w:ascii="Arial" w:hAnsi="Arial" w:cs="Arial"/>
                <w:szCs w:val="20"/>
              </w:rPr>
              <w:t>-</w:t>
            </w:r>
            <w:proofErr w:type="spellStart"/>
            <w:r w:rsidRPr="001973FD">
              <w:rPr>
                <w:rFonts w:ascii="Arial" w:hAnsi="Arial" w:cs="Arial"/>
                <w:szCs w:val="20"/>
              </w:rPr>
              <w:t>schaft</w:t>
            </w:r>
            <w:proofErr w:type="spellEnd"/>
          </w:p>
        </w:tc>
        <w:tc>
          <w:tcPr>
            <w:tcW w:w="3688" w:type="dxa"/>
            <w:shd w:val="clear" w:color="auto" w:fill="auto"/>
          </w:tcPr>
          <w:p w14:paraId="7A0ED7EC" w14:textId="5815AF68" w:rsidR="001973FD" w:rsidRPr="001973FD" w:rsidRDefault="001973FD" w:rsidP="001973FD">
            <w:pPr>
              <w:spacing w:before="120" w:after="120"/>
              <w:rPr>
                <w:rFonts w:ascii="Arial" w:hAnsi="Arial" w:cs="Arial"/>
                <w:szCs w:val="20"/>
              </w:rPr>
            </w:pPr>
            <w:r w:rsidRPr="001973FD">
              <w:rPr>
                <w:rFonts w:ascii="Arial" w:hAnsi="Arial" w:cs="Arial"/>
                <w:szCs w:val="20"/>
              </w:rPr>
              <w:t xml:space="preserve">Ihre </w:t>
            </w:r>
            <w:proofErr w:type="spellStart"/>
            <w:r w:rsidRPr="001973FD">
              <w:rPr>
                <w:rFonts w:ascii="Arial" w:hAnsi="Arial" w:cs="Arial"/>
                <w:szCs w:val="20"/>
              </w:rPr>
              <w:t>SuS</w:t>
            </w:r>
            <w:proofErr w:type="spellEnd"/>
            <w:r w:rsidRPr="001973FD">
              <w:rPr>
                <w:rFonts w:ascii="Arial" w:hAnsi="Arial" w:cs="Arial"/>
                <w:szCs w:val="20"/>
              </w:rPr>
              <w:t xml:space="preserve"> lesen gemeinsam einen literarischen Text oder einen Ausschnitt aus einem literarischen Werk. Sie verwenden ein kollaboratives Annotationstool wie Hypothes.is oder Google Docs, um während des Lesens Anmerkungen zu machen, Fragen zu stellen und Schlüsselstellen zu markieren.</w:t>
            </w:r>
          </w:p>
        </w:tc>
        <w:tc>
          <w:tcPr>
            <w:tcW w:w="2833" w:type="dxa"/>
            <w:shd w:val="clear" w:color="auto" w:fill="auto"/>
          </w:tcPr>
          <w:p w14:paraId="267E79C3" w14:textId="57B95506" w:rsidR="001973FD" w:rsidRPr="001973FD" w:rsidRDefault="001973FD" w:rsidP="001973FD">
            <w:pPr>
              <w:spacing w:before="120" w:after="120"/>
              <w:rPr>
                <w:rFonts w:ascii="Arial" w:hAnsi="Arial" w:cs="Arial"/>
                <w:szCs w:val="20"/>
              </w:rPr>
            </w:pPr>
            <w:r w:rsidRPr="001973FD">
              <w:rPr>
                <w:rFonts w:ascii="Arial" w:hAnsi="Arial" w:cs="Arial"/>
                <w:szCs w:val="20"/>
              </w:rPr>
              <w:t xml:space="preserve">Ihre </w:t>
            </w:r>
            <w:proofErr w:type="spellStart"/>
            <w:r w:rsidRPr="001973FD">
              <w:rPr>
                <w:rFonts w:ascii="Arial" w:hAnsi="Arial" w:cs="Arial"/>
                <w:szCs w:val="20"/>
              </w:rPr>
              <w:t>SuS</w:t>
            </w:r>
            <w:proofErr w:type="spellEnd"/>
            <w:r w:rsidRPr="001973FD">
              <w:rPr>
                <w:rFonts w:ascii="Arial" w:hAnsi="Arial" w:cs="Arial"/>
                <w:szCs w:val="20"/>
              </w:rPr>
              <w:t xml:space="preserve"> diskutieren in Kleingruppen die </w:t>
            </w:r>
            <w:proofErr w:type="spellStart"/>
            <w:r w:rsidRPr="001973FD">
              <w:rPr>
                <w:rFonts w:ascii="Arial" w:hAnsi="Arial" w:cs="Arial"/>
                <w:szCs w:val="20"/>
              </w:rPr>
              <w:t>Bedeu</w:t>
            </w:r>
            <w:r w:rsidR="001902EA">
              <w:rPr>
                <w:rFonts w:ascii="Arial" w:hAnsi="Arial" w:cs="Arial"/>
                <w:szCs w:val="20"/>
              </w:rPr>
              <w:t>-</w:t>
            </w:r>
            <w:r w:rsidRPr="001973FD">
              <w:rPr>
                <w:rFonts w:ascii="Arial" w:hAnsi="Arial" w:cs="Arial"/>
                <w:szCs w:val="20"/>
              </w:rPr>
              <w:t>tung</w:t>
            </w:r>
            <w:proofErr w:type="spellEnd"/>
            <w:r w:rsidRPr="001973FD">
              <w:rPr>
                <w:rFonts w:ascii="Arial" w:hAnsi="Arial" w:cs="Arial"/>
                <w:szCs w:val="20"/>
              </w:rPr>
              <w:t xml:space="preserve"> und Interpretation des Textes. Sie tauschen ihre Annotationen aus, stellen sich gegenseitig Fragen und debattieren über unterschiedliche Interpretationsansätze. Dabei können sie auch zusätzliche Ressourcen wie Sekundärliteratur oder Onlineartikel nutzen, um ihre Argumente zu stützen.</w:t>
            </w:r>
          </w:p>
        </w:tc>
        <w:tc>
          <w:tcPr>
            <w:tcW w:w="3543" w:type="dxa"/>
            <w:shd w:val="clear" w:color="auto" w:fill="auto"/>
          </w:tcPr>
          <w:p w14:paraId="5D11FF96" w14:textId="23E94E8E" w:rsidR="001973FD" w:rsidRPr="001973FD" w:rsidRDefault="001973FD" w:rsidP="001973FD">
            <w:pPr>
              <w:spacing w:before="120" w:after="120"/>
              <w:rPr>
                <w:rFonts w:ascii="Arial" w:hAnsi="Arial" w:cs="Arial"/>
                <w:szCs w:val="20"/>
              </w:rPr>
            </w:pPr>
            <w:r w:rsidRPr="001973FD">
              <w:rPr>
                <w:rFonts w:ascii="Arial" w:hAnsi="Arial" w:cs="Arial"/>
                <w:szCs w:val="20"/>
              </w:rPr>
              <w:t xml:space="preserve">Nach der Gruppendiskussion kommen Ihre </w:t>
            </w:r>
            <w:proofErr w:type="spellStart"/>
            <w:r w:rsidRPr="001973FD">
              <w:rPr>
                <w:rFonts w:ascii="Arial" w:hAnsi="Arial" w:cs="Arial"/>
                <w:szCs w:val="20"/>
              </w:rPr>
              <w:t>SuS</w:t>
            </w:r>
            <w:proofErr w:type="spellEnd"/>
            <w:r w:rsidRPr="001973FD">
              <w:rPr>
                <w:rFonts w:ascii="Arial" w:hAnsi="Arial" w:cs="Arial"/>
                <w:szCs w:val="20"/>
              </w:rPr>
              <w:t xml:space="preserve"> wieder zusammen, um ihre Erkenntnisse zu teilen und ihre Interpretation des Textes zu präsentieren. Sie reflektieren gemeinsam über die verschiedenen Interpretations</w:t>
            </w:r>
            <w:r>
              <w:rPr>
                <w:rFonts w:ascii="Arial" w:hAnsi="Arial" w:cs="Arial"/>
                <w:szCs w:val="20"/>
              </w:rPr>
              <w:t>-</w:t>
            </w:r>
            <w:r w:rsidRPr="001973FD">
              <w:rPr>
                <w:rFonts w:ascii="Arial" w:hAnsi="Arial" w:cs="Arial"/>
                <w:szCs w:val="20"/>
              </w:rPr>
              <w:t>möglichkeiten und versuchen, eine konsensuale Interpretation zu entwickeln. Abschließend erstellen sie eine zusammenfassende Analyse des Textes, die ihre gemeinsamen Erkenntnisse und Schluss-folgerungen widerspiegelt.</w:t>
            </w:r>
          </w:p>
        </w:tc>
      </w:tr>
    </w:tbl>
    <w:p w14:paraId="3D056880" w14:textId="77777777" w:rsidR="0058582A" w:rsidRPr="00581B4B" w:rsidRDefault="0058582A" w:rsidP="00581B4B"/>
    <w:sectPr w:rsidR="0058582A"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12FDC003" w:rsidR="00095CFC" w:rsidRPr="00AD651E" w:rsidRDefault="0058582A"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13</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652727">
            <w:rPr>
              <w:rFonts w:ascii="Interstate Cond" w:hAnsi="Interstate Cond"/>
              <w:b/>
              <w:color w:val="FFFFFF" w:themeColor="background1"/>
              <w:sz w:val="32"/>
            </w:rPr>
            <w:t>4</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7687970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F6488"/>
    <w:multiLevelType w:val="hybridMultilevel"/>
    <w:tmpl w:val="037E3D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10"/>
  </w:num>
  <w:num w:numId="2" w16cid:durableId="1667436405">
    <w:abstractNumId w:val="20"/>
  </w:num>
  <w:num w:numId="3" w16cid:durableId="1489901206">
    <w:abstractNumId w:val="22"/>
  </w:num>
  <w:num w:numId="4" w16cid:durableId="347487071">
    <w:abstractNumId w:val="11"/>
  </w:num>
  <w:num w:numId="5" w16cid:durableId="1797259768">
    <w:abstractNumId w:val="6"/>
  </w:num>
  <w:num w:numId="6" w16cid:durableId="382026321">
    <w:abstractNumId w:val="8"/>
  </w:num>
  <w:num w:numId="7" w16cid:durableId="1689794066">
    <w:abstractNumId w:val="13"/>
  </w:num>
  <w:num w:numId="8" w16cid:durableId="1879587828">
    <w:abstractNumId w:val="12"/>
  </w:num>
  <w:num w:numId="9" w16cid:durableId="1300964876">
    <w:abstractNumId w:val="9"/>
  </w:num>
  <w:num w:numId="10" w16cid:durableId="595290535">
    <w:abstractNumId w:val="5"/>
  </w:num>
  <w:num w:numId="11" w16cid:durableId="97411375">
    <w:abstractNumId w:val="21"/>
  </w:num>
  <w:num w:numId="12" w16cid:durableId="890846888">
    <w:abstractNumId w:val="15"/>
  </w:num>
  <w:num w:numId="13" w16cid:durableId="924460106">
    <w:abstractNumId w:val="16"/>
  </w:num>
  <w:num w:numId="14" w16cid:durableId="1048651771">
    <w:abstractNumId w:val="14"/>
  </w:num>
  <w:num w:numId="15" w16cid:durableId="1578401136">
    <w:abstractNumId w:val="17"/>
  </w:num>
  <w:num w:numId="16" w16cid:durableId="1207185062">
    <w:abstractNumId w:val="18"/>
  </w:num>
  <w:num w:numId="17" w16cid:durableId="1417631617">
    <w:abstractNumId w:val="19"/>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957175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902EA"/>
    <w:rsid w:val="001973FD"/>
    <w:rsid w:val="001B429B"/>
    <w:rsid w:val="001E6480"/>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582A"/>
    <w:rsid w:val="00587D31"/>
    <w:rsid w:val="00614D0A"/>
    <w:rsid w:val="00652727"/>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E39AF"/>
    <w:rsid w:val="00AF17D9"/>
    <w:rsid w:val="00B01FFE"/>
    <w:rsid w:val="00B076D9"/>
    <w:rsid w:val="00B707AF"/>
    <w:rsid w:val="00B81586"/>
    <w:rsid w:val="00B87D52"/>
    <w:rsid w:val="00BD49AA"/>
    <w:rsid w:val="00BD71E9"/>
    <w:rsid w:val="00C310AF"/>
    <w:rsid w:val="00C42CEF"/>
    <w:rsid w:val="00C73E1A"/>
    <w:rsid w:val="00C9289F"/>
    <w:rsid w:val="00CC38C8"/>
    <w:rsid w:val="00D52187"/>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2024-06-17T11:15:00Z</dcterms:created>
  <dcterms:modified xsi:type="dcterms:W3CDTF">2024-06-17T11:15:00Z</dcterms:modified>
</cp:coreProperties>
</file>