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64AD2940" w14:textId="396BD893" w:rsidR="00DE33CA" w:rsidRDefault="006E18EF" w:rsidP="00DE33CA">
      <w:pPr>
        <w:tabs>
          <w:tab w:val="left" w:pos="2430"/>
        </w:tabs>
      </w:pPr>
      <w:r>
        <w:tab/>
      </w:r>
    </w:p>
    <w:tbl>
      <w:tblPr>
        <w:tblStyle w:val="NormalTable0"/>
        <w:tblW w:w="104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605"/>
        <w:gridCol w:w="2875"/>
      </w:tblGrid>
      <w:tr w:rsidR="00DE33CA" w:rsidRPr="00DE33CA" w14:paraId="1F416DF5" w14:textId="77777777" w:rsidTr="00DE33CA">
        <w:trPr>
          <w:trHeight w:val="231"/>
          <w:jc w:val="center"/>
        </w:trPr>
        <w:tc>
          <w:tcPr>
            <w:tcW w:w="10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D92B3"/>
            <w:tcMar>
              <w:top w:w="80" w:type="dxa"/>
              <w:left w:w="80" w:type="dxa"/>
              <w:bottom w:w="80" w:type="dxa"/>
              <w:right w:w="80" w:type="dxa"/>
            </w:tcMar>
          </w:tcPr>
          <w:p w14:paraId="03D1B60B" w14:textId="358C2957" w:rsidR="00DE33CA" w:rsidRPr="00DE33CA" w:rsidRDefault="00DE33CA" w:rsidP="00DE33CA">
            <w:pPr>
              <w:spacing w:before="120" w:after="120"/>
              <w:rPr>
                <w:rFonts w:ascii="Arial" w:eastAsia="Calibri" w:hAnsi="Arial" w:cs="Arial"/>
                <w:b/>
                <w:color w:val="FFFFFF"/>
                <w:sz w:val="28"/>
                <w:szCs w:val="28"/>
                <w:bdr w:val="none" w:sz="0" w:space="0" w:color="auto"/>
              </w:rPr>
            </w:pPr>
            <w:r w:rsidRPr="00DE33CA">
              <w:rPr>
                <w:rFonts w:ascii="Arial" w:eastAsia="Calibri" w:hAnsi="Arial" w:cs="Arial"/>
                <w:b/>
                <w:color w:val="FFFFFF"/>
                <w:sz w:val="28"/>
                <w:szCs w:val="28"/>
                <w:bdr w:val="none" w:sz="0" w:space="0" w:color="auto"/>
              </w:rPr>
              <w:t xml:space="preserve">Übersicht: </w:t>
            </w:r>
            <w:r w:rsidRPr="00DE33CA">
              <w:rPr>
                <w:rFonts w:ascii="Arial" w:eastAsia="Calibri" w:hAnsi="Arial" w:cs="Arial"/>
                <w:b/>
                <w:color w:val="FFFFFF"/>
                <w:sz w:val="28"/>
                <w:szCs w:val="28"/>
                <w:bdr w:val="none" w:sz="0" w:space="0" w:color="auto"/>
              </w:rPr>
              <w:t>Kompetenztraining als Teambuilding-Event</w:t>
            </w:r>
          </w:p>
        </w:tc>
      </w:tr>
      <w:tr w:rsidR="00DE33CA" w:rsidRPr="00DE33CA" w14:paraId="4C735758" w14:textId="77777777" w:rsidTr="00DE33CA">
        <w:trPr>
          <w:trHeight w:val="231"/>
          <w:jc w:val="center"/>
        </w:trPr>
        <w:tc>
          <w:tcPr>
            <w:tcW w:w="7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BC791"/>
            <w:tcMar>
              <w:top w:w="80" w:type="dxa"/>
              <w:left w:w="80" w:type="dxa"/>
              <w:bottom w:w="80" w:type="dxa"/>
              <w:right w:w="80" w:type="dxa"/>
            </w:tcMar>
          </w:tcPr>
          <w:p w14:paraId="1CC742CA" w14:textId="77777777" w:rsidR="00DE33CA" w:rsidRPr="00DE33CA" w:rsidRDefault="00DE33CA" w:rsidP="00DE33CA">
            <w:pPr>
              <w:spacing w:before="120" w:after="120"/>
              <w:rPr>
                <w:rFonts w:ascii="Arial" w:eastAsia="Calibri" w:hAnsi="Arial" w:cs="Arial"/>
                <w:b/>
                <w:sz w:val="24"/>
                <w:szCs w:val="24"/>
                <w:bdr w:val="none" w:sz="0" w:space="0" w:color="auto"/>
              </w:rPr>
            </w:pPr>
            <w:r w:rsidRPr="00DE33CA">
              <w:rPr>
                <w:rFonts w:ascii="Arial" w:eastAsia="Calibri" w:hAnsi="Arial" w:cs="Arial"/>
                <w:b/>
                <w:sz w:val="24"/>
                <w:szCs w:val="24"/>
                <w:bdr w:val="none" w:sz="0" w:space="0" w:color="auto"/>
              </w:rPr>
              <w:t>Teambuilding: Events</w:t>
            </w: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BC791"/>
            <w:tcMar>
              <w:top w:w="80" w:type="dxa"/>
              <w:left w:w="80" w:type="dxa"/>
              <w:bottom w:w="80" w:type="dxa"/>
              <w:right w:w="80" w:type="dxa"/>
            </w:tcMar>
          </w:tcPr>
          <w:p w14:paraId="2359F0B0" w14:textId="77777777" w:rsidR="00DE33CA" w:rsidRPr="00DE33CA" w:rsidRDefault="00DE33CA" w:rsidP="00DE33CA">
            <w:pPr>
              <w:spacing w:before="120" w:after="120"/>
              <w:rPr>
                <w:rFonts w:ascii="Arial" w:eastAsia="Calibri" w:hAnsi="Arial" w:cs="Arial"/>
                <w:b/>
                <w:sz w:val="24"/>
                <w:szCs w:val="24"/>
                <w:bdr w:val="none" w:sz="0" w:space="0" w:color="auto"/>
              </w:rPr>
            </w:pPr>
            <w:r w:rsidRPr="00DE33CA">
              <w:rPr>
                <w:rFonts w:ascii="Arial" w:eastAsia="Calibri" w:hAnsi="Arial" w:cs="Arial"/>
                <w:b/>
                <w:sz w:val="24"/>
                <w:szCs w:val="24"/>
                <w:bdr w:val="none" w:sz="0" w:space="0" w:color="auto"/>
              </w:rPr>
              <w:t xml:space="preserve">Kompetenzen / Nutzen </w:t>
            </w:r>
          </w:p>
        </w:tc>
      </w:tr>
      <w:tr w:rsidR="00DE33CA" w:rsidRPr="00DE33CA" w14:paraId="1F9082C4" w14:textId="77777777" w:rsidTr="00DE33CA">
        <w:trPr>
          <w:trHeight w:val="231"/>
          <w:jc w:val="center"/>
        </w:trPr>
        <w:tc>
          <w:tcPr>
            <w:tcW w:w="7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718A1D6" w14:textId="77777777" w:rsidR="00DE33CA" w:rsidRPr="00DE33CA" w:rsidRDefault="00DE33CA" w:rsidP="00DE33CA">
            <w:pPr>
              <w:spacing w:before="120" w:after="120"/>
              <w:rPr>
                <w:rFonts w:ascii="Arial" w:eastAsia="Calibri" w:hAnsi="Arial" w:cs="Arial"/>
                <w:b/>
                <w:sz w:val="24"/>
                <w:szCs w:val="24"/>
                <w:bdr w:val="none" w:sz="0" w:space="0" w:color="auto"/>
              </w:rPr>
            </w:pPr>
            <w:r w:rsidRPr="00DE33CA">
              <w:rPr>
                <w:rFonts w:ascii="Arial" w:eastAsia="Calibri" w:hAnsi="Arial" w:cs="Arial"/>
                <w:b/>
                <w:sz w:val="24"/>
                <w:szCs w:val="24"/>
                <w:bdr w:val="none" w:sz="0" w:space="0" w:color="auto"/>
              </w:rPr>
              <w:t>Führungskräfte-Training mit Pferden</w:t>
            </w:r>
          </w:p>
          <w:p w14:paraId="6683493E" w14:textId="57054F7B" w:rsidR="00DE33CA" w:rsidRPr="00DE33CA" w:rsidRDefault="00DE33CA" w:rsidP="00DE33CA">
            <w:pPr>
              <w:spacing w:before="120" w:after="120"/>
              <w:rPr>
                <w:rFonts w:ascii="Arial" w:hAnsi="Arial" w:cs="Arial"/>
                <w:bCs/>
                <w:sz w:val="24"/>
                <w:szCs w:val="24"/>
              </w:rPr>
            </w:pPr>
            <w:r w:rsidRPr="00DE33CA">
              <w:rPr>
                <w:rFonts w:ascii="Arial" w:eastAsia="Calibri" w:hAnsi="Arial" w:cs="Arial"/>
                <w:bCs/>
                <w:sz w:val="24"/>
                <w:szCs w:val="24"/>
                <w:bdr w:val="none" w:sz="0" w:space="0" w:color="auto"/>
              </w:rPr>
              <w:t xml:space="preserve">Pferde kommunizieren sehr fein, sie reagieren nicht auf das gesprochene Wort, sondern auf die Körpersprache. War das tatsächlich freundlich gemeint oder nur eine Floskel, was steckt hinter dem Lob und warum soll ich ihm vertrauen? Das Pferd antwortet auf Gefühle und deckt so Verhaltensweisen und fehlerhafte Selbstbilder auf, gleichzeitig unterstützt es dabei, sich selbst zu finden. </w:t>
            </w: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1C6F921"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Kooperationsfähigkeit</w:t>
            </w:r>
          </w:p>
          <w:p w14:paraId="4950197D"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Selbstwahrnehmung</w:t>
            </w:r>
          </w:p>
          <w:p w14:paraId="20EEBA97"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Reflexionsfähigkeit</w:t>
            </w:r>
          </w:p>
          <w:p w14:paraId="559DBE0B" w14:textId="0178E5BC"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proofErr w:type="spellStart"/>
            <w:r w:rsidRPr="00DE33CA">
              <w:rPr>
                <w:rFonts w:ascii="Arial" w:eastAsia="Calibri" w:hAnsi="Arial" w:cs="Arial"/>
                <w:sz w:val="24"/>
                <w:bdr w:val="none" w:sz="0" w:space="0" w:color="auto"/>
              </w:rPr>
              <w:t>Empathiefähigkeit</w:t>
            </w:r>
            <w:proofErr w:type="spellEnd"/>
          </w:p>
        </w:tc>
      </w:tr>
      <w:tr w:rsidR="00DE33CA" w:rsidRPr="00DE33CA" w14:paraId="6462888A" w14:textId="77777777" w:rsidTr="00DE33CA">
        <w:trPr>
          <w:trHeight w:val="231"/>
          <w:jc w:val="center"/>
        </w:trPr>
        <w:tc>
          <w:tcPr>
            <w:tcW w:w="7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75A2F8C" w14:textId="77777777" w:rsidR="00DE33CA" w:rsidRPr="00DE33CA" w:rsidRDefault="00DE33CA" w:rsidP="00DE33CA">
            <w:pPr>
              <w:spacing w:before="120" w:after="120"/>
              <w:rPr>
                <w:rFonts w:ascii="Arial" w:eastAsia="Calibri" w:hAnsi="Arial" w:cs="Arial"/>
                <w:b/>
                <w:sz w:val="24"/>
                <w:szCs w:val="24"/>
                <w:bdr w:val="none" w:sz="0" w:space="0" w:color="auto"/>
              </w:rPr>
            </w:pPr>
            <w:r w:rsidRPr="00DE33CA">
              <w:rPr>
                <w:rFonts w:ascii="Arial" w:eastAsia="Calibri" w:hAnsi="Arial" w:cs="Arial"/>
                <w:b/>
                <w:sz w:val="24"/>
                <w:szCs w:val="24"/>
                <w:bdr w:val="none" w:sz="0" w:space="0" w:color="auto"/>
              </w:rPr>
              <w:t>Escape Room</w:t>
            </w:r>
          </w:p>
          <w:p w14:paraId="79A70558" w14:textId="49DEC90D" w:rsidR="00DE33CA" w:rsidRPr="00DE33CA" w:rsidRDefault="00DE33CA" w:rsidP="00DE33CA">
            <w:pPr>
              <w:spacing w:before="120" w:after="120"/>
              <w:rPr>
                <w:rFonts w:ascii="Arial" w:hAnsi="Arial" w:cs="Arial"/>
                <w:bCs/>
                <w:sz w:val="24"/>
                <w:szCs w:val="24"/>
              </w:rPr>
            </w:pPr>
            <w:r w:rsidRPr="00DE33CA">
              <w:rPr>
                <w:rFonts w:ascii="Arial" w:eastAsia="Calibri" w:hAnsi="Arial" w:cs="Arial"/>
                <w:bCs/>
                <w:sz w:val="24"/>
                <w:szCs w:val="24"/>
                <w:bdr w:val="none" w:sz="0" w:space="0" w:color="auto"/>
              </w:rPr>
              <w:t>Ein Escape Room erfordert Kooperation, das Lösen eines gemeinsamen Problems und das Eruieren von Strategien. Gepaart ist dies mit einer Portion Spaß – super, um seine eigenen Fähigkeiten spielerisch zu erweitern. Achten Sie darauf, dass die Gruppen bunt gemischt und nicht immer dieselben zusammen sind.</w:t>
            </w: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2D3E499" w14:textId="00F9A61A"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Problemlöse</w:t>
            </w:r>
            <w:r>
              <w:rPr>
                <w:rFonts w:ascii="Arial" w:eastAsia="Calibri" w:hAnsi="Arial" w:cs="Arial"/>
                <w:sz w:val="24"/>
                <w:bdr w:val="none" w:sz="0" w:space="0" w:color="auto"/>
              </w:rPr>
              <w:t>-</w:t>
            </w:r>
            <w:r w:rsidRPr="00DE33CA">
              <w:rPr>
                <w:rFonts w:ascii="Arial" w:eastAsia="Calibri" w:hAnsi="Arial" w:cs="Arial"/>
                <w:sz w:val="24"/>
                <w:bdr w:val="none" w:sz="0" w:space="0" w:color="auto"/>
              </w:rPr>
              <w:t>kompetenz</w:t>
            </w:r>
          </w:p>
          <w:p w14:paraId="15F57223"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Teamfähigkeit</w:t>
            </w:r>
          </w:p>
          <w:p w14:paraId="17850020" w14:textId="0428772C"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Arbeitskompetenz</w:t>
            </w:r>
          </w:p>
        </w:tc>
      </w:tr>
      <w:tr w:rsidR="00DE33CA" w:rsidRPr="00DE33CA" w14:paraId="61BB3C7E" w14:textId="77777777" w:rsidTr="00DE33CA">
        <w:trPr>
          <w:trHeight w:val="231"/>
          <w:jc w:val="center"/>
        </w:trPr>
        <w:tc>
          <w:tcPr>
            <w:tcW w:w="7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1869723" w14:textId="77777777" w:rsidR="00DE33CA" w:rsidRPr="00DE33CA" w:rsidRDefault="00DE33CA" w:rsidP="00DE33CA">
            <w:pPr>
              <w:spacing w:before="120" w:after="120"/>
              <w:rPr>
                <w:rFonts w:ascii="Arial" w:eastAsia="Calibri" w:hAnsi="Arial" w:cs="Arial"/>
                <w:b/>
                <w:sz w:val="24"/>
                <w:szCs w:val="24"/>
                <w:bdr w:val="none" w:sz="0" w:space="0" w:color="auto"/>
              </w:rPr>
            </w:pPr>
            <w:proofErr w:type="spellStart"/>
            <w:r w:rsidRPr="00DE33CA">
              <w:rPr>
                <w:rFonts w:ascii="Arial" w:eastAsia="Calibri" w:hAnsi="Arial" w:cs="Arial"/>
                <w:b/>
                <w:sz w:val="24"/>
                <w:szCs w:val="24"/>
                <w:bdr w:val="none" w:sz="0" w:space="0" w:color="auto"/>
              </w:rPr>
              <w:t>Floßbau</w:t>
            </w:r>
            <w:proofErr w:type="spellEnd"/>
            <w:r w:rsidRPr="00DE33CA">
              <w:rPr>
                <w:rFonts w:ascii="Arial" w:eastAsia="Calibri" w:hAnsi="Arial" w:cs="Arial"/>
                <w:b/>
                <w:sz w:val="24"/>
                <w:szCs w:val="24"/>
                <w:bdr w:val="none" w:sz="0" w:space="0" w:color="auto"/>
              </w:rPr>
              <w:t xml:space="preserve"> mit anschließender Seefahrt</w:t>
            </w:r>
          </w:p>
          <w:p w14:paraId="4BC01C52" w14:textId="7360DD86" w:rsidR="00DE33CA" w:rsidRPr="00DE33CA" w:rsidRDefault="00DE33CA" w:rsidP="00DE33CA">
            <w:pPr>
              <w:spacing w:before="120" w:after="120"/>
              <w:rPr>
                <w:rFonts w:ascii="Arial" w:hAnsi="Arial" w:cs="Arial"/>
                <w:bCs/>
                <w:sz w:val="24"/>
                <w:szCs w:val="24"/>
              </w:rPr>
            </w:pPr>
            <w:r w:rsidRPr="00DE33CA">
              <w:rPr>
                <w:rFonts w:ascii="Arial" w:eastAsia="Calibri" w:hAnsi="Arial" w:cs="Arial"/>
                <w:bCs/>
                <w:sz w:val="24"/>
                <w:szCs w:val="24"/>
                <w:bdr w:val="none" w:sz="0" w:space="0" w:color="auto"/>
              </w:rPr>
              <w:t>Eine große Herausforderung mit einer tatsächlichen „Gefahr“ – bei diesem Event geht es ans Eingemachte. Ganz konkret muss gemeinsam etwas erschaffen werden, das dann bestimmten Ansprüchen genügen muss, denn niemand darf kentern. In Gruppen bauen Ihre Lehrkräfte ein Floß, mit diesem sie dann eine vorher definierte Strecke in einem Gewässer überwinden müssen. Wer schafft es und wer wird nass?</w:t>
            </w: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61F4647"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Kooperationsfähigkeit</w:t>
            </w:r>
          </w:p>
          <w:p w14:paraId="58D80183"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Konfliktfähigkeit</w:t>
            </w:r>
          </w:p>
          <w:p w14:paraId="71BED1C2"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Problemlösefähigkeit</w:t>
            </w:r>
          </w:p>
          <w:p w14:paraId="240B54A6" w14:textId="4081F125"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Arbeitskompetenz</w:t>
            </w:r>
          </w:p>
        </w:tc>
      </w:tr>
      <w:tr w:rsidR="00DE33CA" w:rsidRPr="00DE33CA" w14:paraId="24751647" w14:textId="77777777" w:rsidTr="00DE33CA">
        <w:trPr>
          <w:trHeight w:val="231"/>
          <w:jc w:val="center"/>
        </w:trPr>
        <w:tc>
          <w:tcPr>
            <w:tcW w:w="7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B35DAB1" w14:textId="77777777" w:rsidR="00DE33CA" w:rsidRPr="00DE33CA" w:rsidRDefault="00DE33CA" w:rsidP="00DE33CA">
            <w:pPr>
              <w:spacing w:before="120" w:after="120"/>
              <w:rPr>
                <w:rFonts w:ascii="Arial" w:eastAsia="Calibri" w:hAnsi="Arial" w:cs="Arial"/>
                <w:b/>
                <w:sz w:val="24"/>
                <w:szCs w:val="24"/>
                <w:bdr w:val="none" w:sz="0" w:space="0" w:color="auto"/>
              </w:rPr>
            </w:pPr>
            <w:r w:rsidRPr="00DE33CA">
              <w:rPr>
                <w:rFonts w:ascii="Arial" w:eastAsia="Calibri" w:hAnsi="Arial" w:cs="Arial"/>
                <w:b/>
                <w:sz w:val="24"/>
                <w:szCs w:val="24"/>
                <w:bdr w:val="none" w:sz="0" w:space="0" w:color="auto"/>
              </w:rPr>
              <w:t>Auto zertrümmern</w:t>
            </w:r>
          </w:p>
          <w:p w14:paraId="3B1DFF42" w14:textId="0C13AAB8" w:rsidR="00DE33CA" w:rsidRPr="00DE33CA" w:rsidRDefault="00DE33CA" w:rsidP="00DE33CA">
            <w:pPr>
              <w:spacing w:before="120" w:after="120"/>
              <w:rPr>
                <w:rFonts w:ascii="Arial" w:hAnsi="Arial" w:cs="Arial"/>
                <w:bCs/>
                <w:sz w:val="24"/>
                <w:szCs w:val="24"/>
              </w:rPr>
            </w:pPr>
            <w:r w:rsidRPr="00DE33CA">
              <w:rPr>
                <w:rFonts w:ascii="Arial" w:eastAsia="Calibri" w:hAnsi="Arial" w:cs="Arial"/>
                <w:bCs/>
                <w:sz w:val="24"/>
                <w:szCs w:val="24"/>
                <w:bdr w:val="none" w:sz="0" w:space="0" w:color="auto"/>
              </w:rPr>
              <w:t>Klingt erst mal brutal, kann aber auch sehr befreiend sein. Diese drastische Form ist vor allem dann geeignet, wenn es Spannungen in Ihrem Kollegium gibt. Manchmal muss Dampf abgelassen werden, da bietet sich das Zertrümmern eines Autos an. Im Anschluss gibt es meist auch wieder Raum für neue Wege.</w:t>
            </w: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9891667"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Selbstkonzept</w:t>
            </w:r>
          </w:p>
          <w:p w14:paraId="4B2D6B26"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 xml:space="preserve">„loslassen“ </w:t>
            </w:r>
          </w:p>
          <w:p w14:paraId="08D66889" w14:textId="287462B4"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 xml:space="preserve">„sich befreien“        </w:t>
            </w:r>
          </w:p>
        </w:tc>
      </w:tr>
      <w:tr w:rsidR="00DE33CA" w:rsidRPr="00DE33CA" w14:paraId="07D735EB" w14:textId="77777777" w:rsidTr="00DE33CA">
        <w:trPr>
          <w:trHeight w:val="231"/>
          <w:jc w:val="center"/>
        </w:trPr>
        <w:tc>
          <w:tcPr>
            <w:tcW w:w="10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BC791"/>
            <w:tcMar>
              <w:top w:w="80" w:type="dxa"/>
              <w:left w:w="80" w:type="dxa"/>
              <w:bottom w:w="80" w:type="dxa"/>
              <w:right w:w="80" w:type="dxa"/>
            </w:tcMar>
          </w:tcPr>
          <w:p w14:paraId="242057DB" w14:textId="77777777" w:rsidR="00DE33CA" w:rsidRPr="00DE33CA" w:rsidRDefault="00DE33CA" w:rsidP="00DE33CA">
            <w:pPr>
              <w:spacing w:before="120" w:after="120"/>
              <w:rPr>
                <w:rFonts w:ascii="Arial" w:eastAsia="Calibri" w:hAnsi="Arial" w:cs="Arial"/>
                <w:b/>
                <w:sz w:val="24"/>
                <w:szCs w:val="24"/>
                <w:bdr w:val="none" w:sz="0" w:space="0" w:color="auto"/>
              </w:rPr>
            </w:pPr>
            <w:r w:rsidRPr="00DE33CA">
              <w:rPr>
                <w:rFonts w:ascii="Arial" w:eastAsia="Calibri" w:hAnsi="Arial" w:cs="Arial"/>
                <w:b/>
                <w:sz w:val="24"/>
                <w:szCs w:val="24"/>
                <w:bdr w:val="none" w:sz="0" w:space="0" w:color="auto"/>
              </w:rPr>
              <w:lastRenderedPageBreak/>
              <w:t xml:space="preserve">Teambuilding: Maßnahmen/Spiele </w:t>
            </w:r>
          </w:p>
        </w:tc>
      </w:tr>
      <w:tr w:rsidR="00DE33CA" w:rsidRPr="00DE33CA" w14:paraId="74D9E9B1" w14:textId="77777777" w:rsidTr="00DE33CA">
        <w:trPr>
          <w:trHeight w:val="412"/>
          <w:jc w:val="center"/>
        </w:trPr>
        <w:tc>
          <w:tcPr>
            <w:tcW w:w="7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63C252D" w14:textId="77777777" w:rsidR="00DE33CA" w:rsidRPr="00DE33CA" w:rsidRDefault="00DE33CA" w:rsidP="00DE33CA">
            <w:pPr>
              <w:spacing w:before="120" w:after="120"/>
              <w:rPr>
                <w:rFonts w:ascii="Arial" w:eastAsia="Calibri" w:hAnsi="Arial" w:cs="Arial"/>
                <w:b/>
                <w:sz w:val="24"/>
                <w:szCs w:val="24"/>
                <w:bdr w:val="none" w:sz="0" w:space="0" w:color="auto"/>
              </w:rPr>
            </w:pPr>
            <w:r w:rsidRPr="00DE33CA">
              <w:rPr>
                <w:rFonts w:ascii="Arial" w:eastAsia="Calibri" w:hAnsi="Arial" w:cs="Arial"/>
                <w:b/>
                <w:sz w:val="24"/>
                <w:szCs w:val="24"/>
                <w:bdr w:val="none" w:sz="0" w:space="0" w:color="auto"/>
              </w:rPr>
              <w:t>Zwei Wahrheiten und eine Lüge</w:t>
            </w:r>
          </w:p>
          <w:p w14:paraId="2C6B2104" w14:textId="77777777" w:rsidR="00DE33CA" w:rsidRPr="00DE33CA" w:rsidRDefault="00DE33CA" w:rsidP="00DE33CA">
            <w:pPr>
              <w:spacing w:before="120" w:after="120"/>
              <w:rPr>
                <w:rFonts w:ascii="Arial" w:eastAsia="Calibri" w:hAnsi="Arial" w:cs="Arial"/>
                <w:bCs/>
                <w:sz w:val="24"/>
                <w:szCs w:val="24"/>
                <w:bdr w:val="none" w:sz="0" w:space="0" w:color="auto"/>
              </w:rPr>
            </w:pPr>
            <w:r w:rsidRPr="00DE33CA">
              <w:rPr>
                <w:rFonts w:ascii="Arial" w:eastAsia="Calibri" w:hAnsi="Arial" w:cs="Arial"/>
                <w:bCs/>
                <w:sz w:val="24"/>
                <w:szCs w:val="24"/>
                <w:bdr w:val="none" w:sz="0" w:space="0" w:color="auto"/>
              </w:rPr>
              <w:t>Ein einfaches Spiel, das tief blicken lässt und auf spielerische Weise Brücken baut.</w:t>
            </w:r>
          </w:p>
        </w:tc>
        <w:tc>
          <w:tcPr>
            <w:tcW w:w="2875" w:type="dxa"/>
            <w:vMerge w:val="restart"/>
            <w:tcBorders>
              <w:top w:val="single" w:sz="8" w:space="0" w:color="000000" w:themeColor="text1"/>
              <w:left w:val="single" w:sz="8" w:space="0" w:color="000000" w:themeColor="text1"/>
              <w:bottom w:val="single" w:sz="4" w:space="0" w:color="auto"/>
              <w:right w:val="single" w:sz="4" w:space="0" w:color="auto"/>
            </w:tcBorders>
            <w:shd w:val="clear" w:color="auto" w:fill="auto"/>
            <w:tcMar>
              <w:top w:w="80" w:type="dxa"/>
              <w:left w:w="80" w:type="dxa"/>
              <w:bottom w:w="80" w:type="dxa"/>
              <w:right w:w="80" w:type="dxa"/>
            </w:tcMar>
          </w:tcPr>
          <w:p w14:paraId="24DE5EFC" w14:textId="7890B285"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soziale Wahrnehmungs</w:t>
            </w:r>
            <w:r w:rsidRPr="00DE33CA">
              <w:rPr>
                <w:rFonts w:ascii="Arial" w:eastAsia="Calibri" w:hAnsi="Arial" w:cs="Arial"/>
                <w:sz w:val="24"/>
                <w:bdr w:val="none" w:sz="0" w:space="0" w:color="auto"/>
              </w:rPr>
              <w:t>-</w:t>
            </w:r>
            <w:r w:rsidRPr="00DE33CA">
              <w:rPr>
                <w:rFonts w:ascii="Arial" w:eastAsia="Calibri" w:hAnsi="Arial" w:cs="Arial"/>
                <w:sz w:val="24"/>
                <w:bdr w:val="none" w:sz="0" w:space="0" w:color="auto"/>
              </w:rPr>
              <w:t>fähigkeit</w:t>
            </w:r>
          </w:p>
          <w:p w14:paraId="01EEBCCC"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„sich kennenlernen“</w:t>
            </w:r>
          </w:p>
          <w:p w14:paraId="3ECD8A05"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„sich öffnen“</w:t>
            </w:r>
          </w:p>
          <w:p w14:paraId="6E34A63A"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Selbstkonzept</w:t>
            </w:r>
          </w:p>
        </w:tc>
      </w:tr>
      <w:tr w:rsidR="00DE33CA" w:rsidRPr="00DE33CA" w14:paraId="546350AB" w14:textId="77777777" w:rsidTr="00DE33CA">
        <w:trPr>
          <w:trHeight w:val="594"/>
          <w:jc w:val="center"/>
        </w:trPr>
        <w:tc>
          <w:tcPr>
            <w:tcW w:w="7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6E7176C" w14:textId="77777777" w:rsidR="00DE33CA" w:rsidRPr="00DE33CA" w:rsidRDefault="00DE33CA" w:rsidP="00DE33CA">
            <w:pPr>
              <w:spacing w:before="120" w:after="120"/>
              <w:rPr>
                <w:rFonts w:ascii="Arial" w:eastAsia="Calibri" w:hAnsi="Arial" w:cs="Arial"/>
                <w:b/>
                <w:sz w:val="24"/>
                <w:szCs w:val="24"/>
                <w:bdr w:val="none" w:sz="0" w:space="0" w:color="auto"/>
              </w:rPr>
            </w:pPr>
            <w:r w:rsidRPr="00DE33CA">
              <w:rPr>
                <w:rFonts w:ascii="Arial" w:eastAsia="Calibri" w:hAnsi="Arial" w:cs="Arial"/>
                <w:b/>
                <w:sz w:val="24"/>
                <w:szCs w:val="24"/>
                <w:bdr w:val="none" w:sz="0" w:space="0" w:color="auto"/>
              </w:rPr>
              <w:t>Flaschendrehen: Wahrheit oder Pflicht?</w:t>
            </w:r>
          </w:p>
          <w:p w14:paraId="4A7A6845" w14:textId="77777777" w:rsidR="00DE33CA" w:rsidRPr="00DE33CA" w:rsidRDefault="00DE33CA" w:rsidP="00DE33CA">
            <w:pPr>
              <w:spacing w:before="120" w:after="120"/>
              <w:rPr>
                <w:rFonts w:ascii="Arial" w:eastAsia="Calibri" w:hAnsi="Arial" w:cs="Arial"/>
                <w:bCs/>
                <w:sz w:val="24"/>
                <w:szCs w:val="24"/>
                <w:bdr w:val="none" w:sz="0" w:space="0" w:color="auto"/>
              </w:rPr>
            </w:pPr>
            <w:r w:rsidRPr="00DE33CA">
              <w:rPr>
                <w:rFonts w:ascii="Arial" w:eastAsia="Calibri" w:hAnsi="Arial" w:cs="Arial"/>
                <w:bCs/>
                <w:sz w:val="24"/>
                <w:szCs w:val="24"/>
                <w:bdr w:val="none" w:sz="0" w:space="0" w:color="auto"/>
              </w:rPr>
              <w:t>Nach anfänglicher Skepsis hat dieser Teenager-Klassiker absolutes Potenzial. Die Wahrheit sagen, eine Aufgabe meistern – auf jeden Fall holt es Ihre Lehrkräfte aus der Komfortzone und schafft gemeinsame Erlebnisse.</w:t>
            </w:r>
          </w:p>
        </w:tc>
        <w:tc>
          <w:tcPr>
            <w:tcW w:w="2875" w:type="dxa"/>
            <w:vMerge/>
            <w:tcBorders>
              <w:bottom w:val="single" w:sz="4" w:space="0" w:color="auto"/>
              <w:right w:val="single" w:sz="4" w:space="0" w:color="auto"/>
            </w:tcBorders>
          </w:tcPr>
          <w:p w14:paraId="54FEF755"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p>
        </w:tc>
      </w:tr>
      <w:tr w:rsidR="00DE33CA" w:rsidRPr="00DE33CA" w14:paraId="02A63A96" w14:textId="77777777" w:rsidTr="00DE33CA">
        <w:trPr>
          <w:trHeight w:val="1610"/>
          <w:jc w:val="center"/>
        </w:trPr>
        <w:tc>
          <w:tcPr>
            <w:tcW w:w="7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11A9355" w14:textId="77777777" w:rsidR="00DE33CA" w:rsidRPr="00DE33CA" w:rsidRDefault="00DE33CA" w:rsidP="00DE33CA">
            <w:pPr>
              <w:spacing w:before="120" w:after="120"/>
              <w:rPr>
                <w:rFonts w:ascii="Arial" w:eastAsia="Calibri" w:hAnsi="Arial" w:cs="Arial"/>
                <w:b/>
                <w:sz w:val="24"/>
                <w:szCs w:val="24"/>
                <w:bdr w:val="none" w:sz="0" w:space="0" w:color="auto"/>
              </w:rPr>
            </w:pPr>
            <w:r w:rsidRPr="00DE33CA">
              <w:rPr>
                <w:rFonts w:ascii="Arial" w:eastAsia="Calibri" w:hAnsi="Arial" w:cs="Arial"/>
                <w:b/>
                <w:sz w:val="24"/>
                <w:szCs w:val="24"/>
                <w:bdr w:val="none" w:sz="0" w:space="0" w:color="auto"/>
              </w:rPr>
              <w:t>Minenfeld</w:t>
            </w:r>
          </w:p>
          <w:p w14:paraId="7392C3DF" w14:textId="77777777" w:rsidR="00DE33CA" w:rsidRPr="00DE33CA" w:rsidRDefault="00DE33CA" w:rsidP="00DE33CA">
            <w:pPr>
              <w:spacing w:before="120" w:after="120"/>
              <w:rPr>
                <w:rFonts w:ascii="Arial" w:eastAsia="Calibri" w:hAnsi="Arial" w:cs="Arial"/>
                <w:bCs/>
                <w:sz w:val="24"/>
                <w:szCs w:val="24"/>
                <w:bdr w:val="none" w:sz="0" w:space="0" w:color="auto"/>
              </w:rPr>
            </w:pPr>
            <w:r w:rsidRPr="00DE33CA">
              <w:rPr>
                <w:rFonts w:ascii="Arial" w:eastAsia="Calibri" w:hAnsi="Arial" w:cs="Arial"/>
                <w:bCs/>
                <w:sz w:val="24"/>
                <w:szCs w:val="24"/>
                <w:bdr w:val="none" w:sz="0" w:space="0" w:color="auto"/>
              </w:rPr>
              <w:t>Dies ist in erster Linie ein vertrauensbildendes Spiel. Stecken Sie ein Feld mit einem Seil oder Band ab.  Nun werden Hindernisse und Hürden eingebaut: Tonnen, Pylonen oder eine Wand. Hinzu kommen Aufgaben, die erledigt werden müssen – etwa einen Ball aufheben oder ein gefülltes Glas tragen, ohne dass zu viel verschüttet wird. Bilden Sie mehrere Teams, die gegeneinander spielen. Einer im Team muss mit verbundenen Augen durch den Parcours laufen und die Aufgaben bewältigen. Die anderen stehen am Rand und leiten ihn hindurch. Das Team, das am schnellsten den Parcours bewältigt und dabei alle Aufgaben gelöst hat, ist Sieger.</w:t>
            </w:r>
          </w:p>
        </w:tc>
        <w:tc>
          <w:tcPr>
            <w:tcW w:w="28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071315B"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„vertrauensbildende Maßnahme“</w:t>
            </w:r>
          </w:p>
          <w:p w14:paraId="717F5249"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Kooperationsfähigkeit</w:t>
            </w:r>
          </w:p>
          <w:p w14:paraId="3C84BFBE" w14:textId="77777777"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Teamfähigkeit</w:t>
            </w:r>
          </w:p>
          <w:p w14:paraId="4BBCB45D" w14:textId="55A07066"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soziale Wahrnehmungs</w:t>
            </w:r>
            <w:r>
              <w:rPr>
                <w:rFonts w:ascii="Arial" w:eastAsia="Calibri" w:hAnsi="Arial" w:cs="Arial"/>
                <w:sz w:val="24"/>
                <w:bdr w:val="none" w:sz="0" w:space="0" w:color="auto"/>
              </w:rPr>
              <w:t>-</w:t>
            </w:r>
            <w:r w:rsidRPr="00DE33CA">
              <w:rPr>
                <w:rFonts w:ascii="Arial" w:eastAsia="Calibri" w:hAnsi="Arial" w:cs="Arial"/>
                <w:sz w:val="24"/>
                <w:bdr w:val="none" w:sz="0" w:space="0" w:color="auto"/>
              </w:rPr>
              <w:t>fähigkeit</w:t>
            </w:r>
          </w:p>
          <w:p w14:paraId="2160338C" w14:textId="0704E2DB" w:rsidR="00DE33CA" w:rsidRPr="00DE33CA" w:rsidRDefault="00DE33CA" w:rsidP="00DE33CA">
            <w:pPr>
              <w:pStyle w:val="Listenabsatz"/>
              <w:numPr>
                <w:ilvl w:val="0"/>
                <w:numId w:val="28"/>
              </w:numPr>
              <w:spacing w:before="120" w:after="120" w:line="276" w:lineRule="auto"/>
              <w:ind w:left="244" w:hanging="218"/>
              <w:rPr>
                <w:rFonts w:ascii="Arial" w:eastAsia="Calibri" w:hAnsi="Arial" w:cs="Arial"/>
                <w:sz w:val="24"/>
                <w:bdr w:val="none" w:sz="0" w:space="0" w:color="auto"/>
              </w:rPr>
            </w:pPr>
            <w:r w:rsidRPr="00DE33CA">
              <w:rPr>
                <w:rFonts w:ascii="Arial" w:eastAsia="Calibri" w:hAnsi="Arial" w:cs="Arial"/>
                <w:sz w:val="24"/>
                <w:bdr w:val="none" w:sz="0" w:space="0" w:color="auto"/>
              </w:rPr>
              <w:t>Problemlöse</w:t>
            </w:r>
            <w:r>
              <w:rPr>
                <w:rFonts w:ascii="Arial" w:eastAsia="Calibri" w:hAnsi="Arial" w:cs="Arial"/>
                <w:sz w:val="24"/>
                <w:bdr w:val="none" w:sz="0" w:space="0" w:color="auto"/>
              </w:rPr>
              <w:t>-</w:t>
            </w:r>
            <w:r w:rsidRPr="00DE33CA">
              <w:rPr>
                <w:rFonts w:ascii="Arial" w:eastAsia="Calibri" w:hAnsi="Arial" w:cs="Arial"/>
                <w:sz w:val="24"/>
                <w:bdr w:val="none" w:sz="0" w:space="0" w:color="auto"/>
              </w:rPr>
              <w:t>kompetenzen</w:t>
            </w:r>
          </w:p>
        </w:tc>
      </w:tr>
    </w:tbl>
    <w:p w14:paraId="43CCA448" w14:textId="77777777" w:rsidR="00DE33CA" w:rsidRPr="00581B4B" w:rsidRDefault="00DE33CA" w:rsidP="00581B4B"/>
    <w:sectPr w:rsidR="00DE33CA" w:rsidRPr="00581B4B" w:rsidSect="00DE33CA">
      <w:headerReference w:type="default" r:id="rId7"/>
      <w:pgSz w:w="11906" w:h="16838" w:code="9"/>
      <w:pgMar w:top="-156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86BD352" w:rsidR="00095CFC" w:rsidRPr="00AD651E" w:rsidRDefault="00F34CE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DD779E"/>
    <w:multiLevelType w:val="hybridMultilevel"/>
    <w:tmpl w:val="F9E8D988"/>
    <w:lvl w:ilvl="0" w:tplc="5A06FEA2">
      <w:start w:val="1"/>
      <w:numFmt w:val="decimal"/>
      <w:lvlText w:val="%1."/>
      <w:lvlJc w:val="left"/>
      <w:pPr>
        <w:ind w:left="227" w:hanging="227"/>
      </w:pPr>
      <w:rPr>
        <w:rFonts w:hAnsi="Arial Unicode MS" w:hint="default"/>
        <w:caps w:val="0"/>
        <w:smallCaps w:val="0"/>
        <w:strike w:val="0"/>
        <w:dstrike w:val="0"/>
        <w:outline w:val="0"/>
        <w:emboss w:val="0"/>
        <w:imprint w:val="0"/>
        <w:color w:val="DB8C38"/>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8675C"/>
    <w:multiLevelType w:val="hybridMultilevel"/>
    <w:tmpl w:val="13529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80786C"/>
    <w:multiLevelType w:val="hybridMultilevel"/>
    <w:tmpl w:val="2446E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2800823">
    <w:abstractNumId w:val="10"/>
  </w:num>
  <w:num w:numId="2" w16cid:durableId="2054380997">
    <w:abstractNumId w:val="22"/>
  </w:num>
  <w:num w:numId="3" w16cid:durableId="1937783122">
    <w:abstractNumId w:val="26"/>
  </w:num>
  <w:num w:numId="4" w16cid:durableId="1502232978">
    <w:abstractNumId w:val="13"/>
  </w:num>
  <w:num w:numId="5" w16cid:durableId="417747789">
    <w:abstractNumId w:val="7"/>
  </w:num>
  <w:num w:numId="6" w16cid:durableId="1066685058">
    <w:abstractNumId w:val="8"/>
  </w:num>
  <w:num w:numId="7" w16cid:durableId="533888012">
    <w:abstractNumId w:val="15"/>
  </w:num>
  <w:num w:numId="8" w16cid:durableId="687832408">
    <w:abstractNumId w:val="14"/>
  </w:num>
  <w:num w:numId="9" w16cid:durableId="1638339496">
    <w:abstractNumId w:val="9"/>
  </w:num>
  <w:num w:numId="10" w16cid:durableId="1480343022">
    <w:abstractNumId w:val="5"/>
  </w:num>
  <w:num w:numId="11" w16cid:durableId="1020815111">
    <w:abstractNumId w:val="23"/>
  </w:num>
  <w:num w:numId="12" w16cid:durableId="593518341">
    <w:abstractNumId w:val="17"/>
  </w:num>
  <w:num w:numId="13" w16cid:durableId="1889947193">
    <w:abstractNumId w:val="18"/>
  </w:num>
  <w:num w:numId="14" w16cid:durableId="642276780">
    <w:abstractNumId w:val="16"/>
  </w:num>
  <w:num w:numId="15" w16cid:durableId="446312699">
    <w:abstractNumId w:val="19"/>
  </w:num>
  <w:num w:numId="16" w16cid:durableId="2128963119">
    <w:abstractNumId w:val="20"/>
  </w:num>
  <w:num w:numId="17" w16cid:durableId="1057247248">
    <w:abstractNumId w:val="21"/>
  </w:num>
  <w:num w:numId="18" w16cid:durableId="1547449336">
    <w:abstractNumId w:val="4"/>
  </w:num>
  <w:num w:numId="19" w16cid:durableId="1508442396">
    <w:abstractNumId w:val="3"/>
  </w:num>
  <w:num w:numId="20" w16cid:durableId="786706003">
    <w:abstractNumId w:val="2"/>
  </w:num>
  <w:num w:numId="21" w16cid:durableId="1874032037">
    <w:abstractNumId w:val="1"/>
  </w:num>
  <w:num w:numId="22" w16cid:durableId="474951141">
    <w:abstractNumId w:val="0"/>
  </w:num>
  <w:num w:numId="23" w16cid:durableId="1504978570">
    <w:abstractNumId w:val="27"/>
  </w:num>
  <w:num w:numId="24" w16cid:durableId="900601161">
    <w:abstractNumId w:val="24"/>
  </w:num>
  <w:num w:numId="25" w16cid:durableId="49498825">
    <w:abstractNumId w:val="25"/>
  </w:num>
  <w:num w:numId="26" w16cid:durableId="229267429">
    <w:abstractNumId w:val="6"/>
  </w:num>
  <w:num w:numId="27" w16cid:durableId="1005858306">
    <w:abstractNumId w:val="12"/>
  </w:num>
  <w:num w:numId="28" w16cid:durableId="218518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13C2A"/>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C5687"/>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DE33CA"/>
    <w:rsid w:val="00DE6C9A"/>
    <w:rsid w:val="00E028D9"/>
    <w:rsid w:val="00E2265E"/>
    <w:rsid w:val="00E6220D"/>
    <w:rsid w:val="00E74AD6"/>
    <w:rsid w:val="00ED0343"/>
    <w:rsid w:val="00F00CA3"/>
    <w:rsid w:val="00F20663"/>
    <w:rsid w:val="00F34CEE"/>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F34CEE"/>
    <w:pPr>
      <w:spacing w:after="0" w:line="260" w:lineRule="exact"/>
      <w:jc w:val="both"/>
    </w:pPr>
    <w:rPr>
      <w:rFonts w:ascii="Fira Sans Condensed" w:eastAsiaTheme="minorHAnsi" w:hAnsi="Fira Sans Condensed" w:cs="Times New Roman (Textkörper CS)"/>
      <w:b/>
      <w:bCs/>
      <w:sz w:val="18"/>
      <w:szCs w:val="19"/>
    </w:rPr>
  </w:style>
  <w:style w:type="table" w:customStyle="1" w:styleId="NormalTable0">
    <w:name w:val="Normal Table0"/>
    <w:rsid w:val="00F34CE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2641</Characters>
  <Application>Microsoft Office Word</Application>
  <DocSecurity>0</DocSecurity>
  <Lines>220</Lines>
  <Paragraphs>182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2022-09-28T09:13:00Z</dcterms:created>
  <dcterms:modified xsi:type="dcterms:W3CDTF">2022-09-28T09:13:00Z</dcterms:modified>
</cp:coreProperties>
</file>