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F181B09" w14:textId="77777777" w:rsidR="007A7CA7" w:rsidRDefault="006E18EF" w:rsidP="006E18EF">
      <w:pPr>
        <w:tabs>
          <w:tab w:val="left" w:pos="2430"/>
        </w:tabs>
      </w:pPr>
      <w:r>
        <w:tab/>
      </w:r>
    </w:p>
    <w:p w14:paraId="1587DAA7" w14:textId="7E2A940F" w:rsidR="00E933B7" w:rsidRDefault="00E933B7" w:rsidP="00DB7B77"/>
    <w:tbl>
      <w:tblPr>
        <w:tblStyle w:val="Tabellenraster"/>
        <w:tblW w:w="9870" w:type="dxa"/>
        <w:jc w:val="center"/>
        <w:tblLook w:val="04A0" w:firstRow="1" w:lastRow="0" w:firstColumn="1" w:lastColumn="0" w:noHBand="0" w:noVBand="1"/>
      </w:tblPr>
      <w:tblGrid>
        <w:gridCol w:w="9870"/>
      </w:tblGrid>
      <w:tr w:rsidR="00893691" w:rsidRPr="000F3009" w14:paraId="41D4CC14" w14:textId="77777777" w:rsidTr="00893691">
        <w:trPr>
          <w:jc w:val="center"/>
        </w:trPr>
        <w:tc>
          <w:tcPr>
            <w:tcW w:w="9870" w:type="dxa"/>
            <w:shd w:val="clear" w:color="auto" w:fill="6D92B3"/>
          </w:tcPr>
          <w:p w14:paraId="1EF5413F" w14:textId="28F0B885" w:rsidR="00893691" w:rsidRPr="000F3009" w:rsidRDefault="00A641E6" w:rsidP="00A641E6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A641E6">
              <w:rPr>
                <w:rFonts w:ascii="Arial" w:hAnsi="Arial" w:cs="Arial"/>
                <w:b/>
                <w:sz w:val="28"/>
                <w:szCs w:val="28"/>
              </w:rPr>
              <w:t>CM-Strategien: Minimierung von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A641E6">
              <w:rPr>
                <w:rFonts w:ascii="Arial" w:hAnsi="Arial" w:cs="Arial"/>
                <w:b/>
                <w:sz w:val="28"/>
                <w:szCs w:val="28"/>
              </w:rPr>
              <w:t>Unterrichtsstörungen</w:t>
            </w:r>
          </w:p>
        </w:tc>
      </w:tr>
      <w:tr w:rsidR="00A641E6" w:rsidRPr="00A641E6" w14:paraId="50168D67" w14:textId="77777777" w:rsidTr="00A641E6">
        <w:trPr>
          <w:jc w:val="center"/>
        </w:trPr>
        <w:tc>
          <w:tcPr>
            <w:tcW w:w="9870" w:type="dxa"/>
            <w:shd w:val="clear" w:color="auto" w:fill="EBC791"/>
          </w:tcPr>
          <w:p w14:paraId="73AD07F1" w14:textId="49BE80F1" w:rsidR="00A641E6" w:rsidRPr="00A641E6" w:rsidRDefault="00A641E6" w:rsidP="00A641E6">
            <w:pPr>
              <w:pStyle w:val="Listenabsatz"/>
              <w:numPr>
                <w:ilvl w:val="0"/>
                <w:numId w:val="31"/>
              </w:num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A641E6">
              <w:rPr>
                <w:rFonts w:ascii="Arial" w:hAnsi="Arial" w:cs="Arial"/>
                <w:b/>
                <w:sz w:val="24"/>
              </w:rPr>
              <w:t>Senden Sie nonverbale Signale</w:t>
            </w:r>
          </w:p>
        </w:tc>
      </w:tr>
      <w:tr w:rsidR="00A641E6" w:rsidRPr="00A641E6" w14:paraId="337DD099" w14:textId="77777777" w:rsidTr="00A641E6">
        <w:trPr>
          <w:jc w:val="center"/>
        </w:trPr>
        <w:tc>
          <w:tcPr>
            <w:tcW w:w="9870" w:type="dxa"/>
            <w:shd w:val="clear" w:color="auto" w:fill="auto"/>
          </w:tcPr>
          <w:p w14:paraId="3F2276D4" w14:textId="789500FC" w:rsidR="00A641E6" w:rsidRPr="00A641E6" w:rsidRDefault="00A641E6" w:rsidP="00A641E6">
            <w:pPr>
              <w:pStyle w:val="Listenabsatz"/>
              <w:numPr>
                <w:ilvl w:val="0"/>
                <w:numId w:val="32"/>
              </w:numPr>
              <w:spacing w:before="120" w:after="120" w:line="276" w:lineRule="auto"/>
              <w:ind w:left="447"/>
              <w:rPr>
                <w:rFonts w:ascii="Arial" w:hAnsi="Arial" w:cs="Arial"/>
                <w:sz w:val="24"/>
              </w:rPr>
            </w:pPr>
            <w:r w:rsidRPr="00A641E6">
              <w:rPr>
                <w:rFonts w:ascii="Arial" w:hAnsi="Arial" w:cs="Arial"/>
                <w:sz w:val="24"/>
              </w:rPr>
              <w:t xml:space="preserve">Präsenzsignale: Nutzen Sie die Lokation: Versauern Sie nicht zwischen View Board und Pult! Gehen Sie auf Ihre </w:t>
            </w:r>
            <w:proofErr w:type="spellStart"/>
            <w:r w:rsidRPr="00A641E6">
              <w:rPr>
                <w:rFonts w:ascii="Arial" w:hAnsi="Arial" w:cs="Arial"/>
                <w:sz w:val="24"/>
              </w:rPr>
              <w:t>SuS</w:t>
            </w:r>
            <w:proofErr w:type="spellEnd"/>
            <w:r w:rsidRPr="00A641E6">
              <w:rPr>
                <w:rFonts w:ascii="Arial" w:hAnsi="Arial" w:cs="Arial"/>
                <w:sz w:val="24"/>
              </w:rPr>
              <w:t xml:space="preserve"> zu! Stellen Sie sich neben oder hinter die Störer. Das beruhigt.</w:t>
            </w:r>
          </w:p>
          <w:p w14:paraId="17C674DC" w14:textId="33896E7F" w:rsidR="00A641E6" w:rsidRPr="00A641E6" w:rsidRDefault="00A641E6" w:rsidP="00A641E6">
            <w:pPr>
              <w:pStyle w:val="Listenabsatz"/>
              <w:numPr>
                <w:ilvl w:val="0"/>
                <w:numId w:val="32"/>
              </w:numPr>
              <w:spacing w:before="120" w:after="120" w:line="276" w:lineRule="auto"/>
              <w:ind w:left="447"/>
              <w:rPr>
                <w:rFonts w:ascii="Arial" w:hAnsi="Arial" w:cs="Arial"/>
                <w:sz w:val="24"/>
              </w:rPr>
            </w:pPr>
            <w:r w:rsidRPr="00A641E6">
              <w:rPr>
                <w:rFonts w:ascii="Arial" w:hAnsi="Arial" w:cs="Arial"/>
                <w:sz w:val="24"/>
              </w:rPr>
              <w:t xml:space="preserve">Stoppsignale: Halten Sie gezielten Blickkontakt zu Ihren </w:t>
            </w:r>
            <w:proofErr w:type="spellStart"/>
            <w:r w:rsidRPr="00A641E6">
              <w:rPr>
                <w:rFonts w:ascii="Arial" w:hAnsi="Arial" w:cs="Arial"/>
                <w:sz w:val="24"/>
              </w:rPr>
              <w:t>SuS</w:t>
            </w:r>
            <w:proofErr w:type="spellEnd"/>
            <w:r w:rsidRPr="00A641E6">
              <w:rPr>
                <w:rFonts w:ascii="Arial" w:hAnsi="Arial" w:cs="Arial"/>
                <w:sz w:val="24"/>
              </w:rPr>
              <w:t xml:space="preserve"> und setzen Sie das Ruhezeichen ein. Auch eine humorvolle Bemerkung kann entstören.</w:t>
            </w:r>
          </w:p>
        </w:tc>
      </w:tr>
      <w:tr w:rsidR="00A641E6" w:rsidRPr="00A641E6" w14:paraId="242F879E" w14:textId="77777777" w:rsidTr="00A641E6">
        <w:trPr>
          <w:jc w:val="center"/>
        </w:trPr>
        <w:tc>
          <w:tcPr>
            <w:tcW w:w="9870" w:type="dxa"/>
            <w:shd w:val="clear" w:color="auto" w:fill="EBC791"/>
          </w:tcPr>
          <w:p w14:paraId="73A1E087" w14:textId="6A64B13D" w:rsidR="00A641E6" w:rsidRPr="00A641E6" w:rsidRDefault="00A641E6" w:rsidP="00A641E6">
            <w:pPr>
              <w:pStyle w:val="Listenabsatz"/>
              <w:numPr>
                <w:ilvl w:val="0"/>
                <w:numId w:val="31"/>
              </w:num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A641E6">
              <w:rPr>
                <w:rFonts w:ascii="Arial" w:hAnsi="Arial" w:cs="Arial"/>
                <w:b/>
                <w:sz w:val="24"/>
              </w:rPr>
              <w:t>Greifen Sie zu verbalen Signalen</w:t>
            </w:r>
          </w:p>
        </w:tc>
      </w:tr>
      <w:tr w:rsidR="00A641E6" w:rsidRPr="00A641E6" w14:paraId="2BF1A3E8" w14:textId="77777777" w:rsidTr="00A641E6">
        <w:trPr>
          <w:jc w:val="center"/>
        </w:trPr>
        <w:tc>
          <w:tcPr>
            <w:tcW w:w="9870" w:type="dxa"/>
            <w:shd w:val="clear" w:color="auto" w:fill="auto"/>
          </w:tcPr>
          <w:p w14:paraId="4AB20EE1" w14:textId="12C17173" w:rsidR="00A641E6" w:rsidRPr="00A641E6" w:rsidRDefault="00A641E6" w:rsidP="00A641E6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A641E6">
              <w:rPr>
                <w:rFonts w:ascii="Arial" w:hAnsi="Arial" w:cs="Arial"/>
                <w:bCs/>
                <w:sz w:val="24"/>
                <w:szCs w:val="24"/>
              </w:rPr>
              <w:t xml:space="preserve">Räumen Sie kleinen und mittleren Unterrichtsstörungen nur geringen Raum ein! Rufen Sie störende </w:t>
            </w:r>
            <w:proofErr w:type="spellStart"/>
            <w:r w:rsidRPr="00A641E6">
              <w:rPr>
                <w:rFonts w:ascii="Arial" w:hAnsi="Arial" w:cs="Arial"/>
                <w:bCs/>
                <w:sz w:val="24"/>
                <w:szCs w:val="24"/>
              </w:rPr>
              <w:t>SuS</w:t>
            </w:r>
            <w:proofErr w:type="spellEnd"/>
            <w:r w:rsidRPr="00A641E6">
              <w:rPr>
                <w:rFonts w:ascii="Arial" w:hAnsi="Arial" w:cs="Arial"/>
                <w:bCs/>
                <w:sz w:val="24"/>
                <w:szCs w:val="24"/>
              </w:rPr>
              <w:t xml:space="preserve"> auf (mobilisierender Aufruf) und binden Sie sie positiv durch eine Frage oder Aufgabe wieder in den Unterricht ein. Setzen Sie den Unterricht fort.</w:t>
            </w:r>
          </w:p>
        </w:tc>
      </w:tr>
      <w:tr w:rsidR="00A641E6" w:rsidRPr="00A641E6" w14:paraId="04DDF16F" w14:textId="77777777" w:rsidTr="00A641E6">
        <w:trPr>
          <w:jc w:val="center"/>
        </w:trPr>
        <w:tc>
          <w:tcPr>
            <w:tcW w:w="9870" w:type="dxa"/>
            <w:shd w:val="clear" w:color="auto" w:fill="EBC791"/>
          </w:tcPr>
          <w:p w14:paraId="097266C9" w14:textId="7B160C68" w:rsidR="00A641E6" w:rsidRPr="00A641E6" w:rsidRDefault="00A641E6" w:rsidP="00A641E6">
            <w:pPr>
              <w:pStyle w:val="Listenabsatz"/>
              <w:numPr>
                <w:ilvl w:val="0"/>
                <w:numId w:val="31"/>
              </w:num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A641E6">
              <w:rPr>
                <w:rFonts w:ascii="Arial" w:hAnsi="Arial" w:cs="Arial"/>
                <w:b/>
                <w:sz w:val="24"/>
              </w:rPr>
              <w:t>Was tun bei Widerspruch?</w:t>
            </w:r>
          </w:p>
        </w:tc>
      </w:tr>
      <w:tr w:rsidR="00A641E6" w:rsidRPr="00A641E6" w14:paraId="303767A0" w14:textId="77777777" w:rsidTr="00A641E6">
        <w:trPr>
          <w:jc w:val="center"/>
        </w:trPr>
        <w:tc>
          <w:tcPr>
            <w:tcW w:w="9870" w:type="dxa"/>
            <w:shd w:val="clear" w:color="auto" w:fill="auto"/>
          </w:tcPr>
          <w:p w14:paraId="2939F9F8" w14:textId="130BE37D" w:rsidR="00A641E6" w:rsidRPr="00A641E6" w:rsidRDefault="00A641E6" w:rsidP="00A641E6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A641E6">
              <w:rPr>
                <w:rFonts w:ascii="Arial" w:hAnsi="Arial" w:cs="Arial"/>
                <w:bCs/>
                <w:sz w:val="24"/>
                <w:szCs w:val="24"/>
              </w:rPr>
              <w:t xml:space="preserve">Lassen Sie sich nicht auf Diskussionen oder Verhandlungen mit den störenden </w:t>
            </w:r>
            <w:proofErr w:type="spellStart"/>
            <w:r w:rsidRPr="00A641E6">
              <w:rPr>
                <w:rFonts w:ascii="Arial" w:hAnsi="Arial" w:cs="Arial"/>
                <w:bCs/>
                <w:sz w:val="24"/>
                <w:szCs w:val="24"/>
              </w:rPr>
              <w:t>SuS</w:t>
            </w:r>
            <w:proofErr w:type="spellEnd"/>
            <w:r w:rsidRPr="00A641E6">
              <w:rPr>
                <w:rFonts w:ascii="Arial" w:hAnsi="Arial" w:cs="Arial"/>
                <w:bCs/>
                <w:sz w:val="24"/>
                <w:szCs w:val="24"/>
              </w:rPr>
              <w:t xml:space="preserve"> ein, sondern folgen Sie dem Schiedsrichter-Prinzip „Keep </w:t>
            </w:r>
            <w:proofErr w:type="spellStart"/>
            <w:r w:rsidRPr="00A641E6">
              <w:rPr>
                <w:rFonts w:ascii="Arial" w:hAnsi="Arial" w:cs="Arial"/>
                <w:bCs/>
                <w:sz w:val="24"/>
                <w:szCs w:val="24"/>
              </w:rPr>
              <w:t>it</w:t>
            </w:r>
            <w:proofErr w:type="spellEnd"/>
            <w:r w:rsidRPr="00A641E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A641E6">
              <w:rPr>
                <w:rFonts w:ascii="Arial" w:hAnsi="Arial" w:cs="Arial"/>
                <w:bCs/>
                <w:sz w:val="24"/>
                <w:szCs w:val="24"/>
              </w:rPr>
              <w:t>short</w:t>
            </w:r>
            <w:proofErr w:type="spellEnd"/>
            <w:r w:rsidRPr="00A641E6">
              <w:rPr>
                <w:rFonts w:ascii="Arial" w:hAnsi="Arial" w:cs="Arial"/>
                <w:bCs/>
                <w:sz w:val="24"/>
                <w:szCs w:val="24"/>
              </w:rPr>
              <w:t xml:space="preserve"> and simple“. Wiederholen Sie notfalls Ihre Anweisung. Lassen Sie sich nicht aus der Ruhe bringen!</w:t>
            </w:r>
          </w:p>
        </w:tc>
      </w:tr>
      <w:tr w:rsidR="00A641E6" w:rsidRPr="00A641E6" w14:paraId="3CAD5D53" w14:textId="77777777" w:rsidTr="00A641E6">
        <w:trPr>
          <w:jc w:val="center"/>
        </w:trPr>
        <w:tc>
          <w:tcPr>
            <w:tcW w:w="9870" w:type="dxa"/>
            <w:shd w:val="clear" w:color="auto" w:fill="EBC791"/>
          </w:tcPr>
          <w:p w14:paraId="5432D1F4" w14:textId="693460D0" w:rsidR="00A641E6" w:rsidRPr="00A641E6" w:rsidRDefault="00A641E6" w:rsidP="00A641E6">
            <w:pPr>
              <w:pStyle w:val="Listenabsatz"/>
              <w:numPr>
                <w:ilvl w:val="0"/>
                <w:numId w:val="31"/>
              </w:num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A641E6">
              <w:rPr>
                <w:rFonts w:ascii="Arial" w:hAnsi="Arial" w:cs="Arial"/>
                <w:b/>
                <w:sz w:val="24"/>
              </w:rPr>
              <w:t>Vermeiden Sie Eskalationen!</w:t>
            </w:r>
          </w:p>
        </w:tc>
      </w:tr>
      <w:tr w:rsidR="00A641E6" w:rsidRPr="00A641E6" w14:paraId="64E0D710" w14:textId="77777777" w:rsidTr="00A641E6">
        <w:trPr>
          <w:jc w:val="center"/>
        </w:trPr>
        <w:tc>
          <w:tcPr>
            <w:tcW w:w="9870" w:type="dxa"/>
            <w:shd w:val="clear" w:color="auto" w:fill="auto"/>
          </w:tcPr>
          <w:p w14:paraId="0FDE7951" w14:textId="5C147DC3" w:rsidR="00A641E6" w:rsidRPr="00A641E6" w:rsidRDefault="00A641E6" w:rsidP="00A641E6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A641E6">
              <w:rPr>
                <w:rFonts w:ascii="Arial" w:hAnsi="Arial" w:cs="Arial"/>
                <w:bCs/>
                <w:sz w:val="24"/>
                <w:szCs w:val="24"/>
              </w:rPr>
              <w:t>Durch einen „Showdown“ könnten Sie diesen Welleneffekt auslösen: Die Mit-</w:t>
            </w:r>
            <w:proofErr w:type="spellStart"/>
            <w:r w:rsidRPr="00A641E6">
              <w:rPr>
                <w:rFonts w:ascii="Arial" w:hAnsi="Arial" w:cs="Arial"/>
                <w:bCs/>
                <w:sz w:val="24"/>
                <w:szCs w:val="24"/>
              </w:rPr>
              <w:t>SuS</w:t>
            </w:r>
            <w:proofErr w:type="spellEnd"/>
            <w:r w:rsidRPr="00A641E6">
              <w:rPr>
                <w:rFonts w:ascii="Arial" w:hAnsi="Arial" w:cs="Arial"/>
                <w:bCs/>
                <w:sz w:val="24"/>
                <w:szCs w:val="24"/>
              </w:rPr>
              <w:t xml:space="preserve"> solidarisieren sich offen mit den Störenden und gegen Sie.</w:t>
            </w:r>
          </w:p>
        </w:tc>
      </w:tr>
      <w:tr w:rsidR="00A641E6" w:rsidRPr="00A641E6" w14:paraId="0B2337A4" w14:textId="77777777" w:rsidTr="00A641E6">
        <w:trPr>
          <w:jc w:val="center"/>
        </w:trPr>
        <w:tc>
          <w:tcPr>
            <w:tcW w:w="9870" w:type="dxa"/>
            <w:shd w:val="clear" w:color="auto" w:fill="EBC791"/>
          </w:tcPr>
          <w:p w14:paraId="3DA557B9" w14:textId="33E29BCA" w:rsidR="00A641E6" w:rsidRPr="00A641E6" w:rsidRDefault="00A641E6" w:rsidP="00A641E6">
            <w:pPr>
              <w:pStyle w:val="Listenabsatz"/>
              <w:numPr>
                <w:ilvl w:val="0"/>
                <w:numId w:val="31"/>
              </w:num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A641E6">
              <w:rPr>
                <w:rFonts w:ascii="Arial" w:hAnsi="Arial" w:cs="Arial"/>
                <w:b/>
                <w:sz w:val="24"/>
              </w:rPr>
              <w:t>Tun Sie das bei offenen oder schwelenden Problemen:</w:t>
            </w:r>
          </w:p>
        </w:tc>
      </w:tr>
      <w:tr w:rsidR="00A641E6" w:rsidRPr="00A641E6" w14:paraId="1B00335A" w14:textId="77777777" w:rsidTr="00A641E6">
        <w:trPr>
          <w:jc w:val="center"/>
        </w:trPr>
        <w:tc>
          <w:tcPr>
            <w:tcW w:w="9870" w:type="dxa"/>
            <w:shd w:val="clear" w:color="auto" w:fill="auto"/>
          </w:tcPr>
          <w:p w14:paraId="6B7FA595" w14:textId="55009974" w:rsidR="00A641E6" w:rsidRPr="00A641E6" w:rsidRDefault="00A641E6" w:rsidP="00A641E6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A641E6">
              <w:rPr>
                <w:rFonts w:ascii="Arial" w:hAnsi="Arial" w:cs="Arial"/>
                <w:bCs/>
                <w:sz w:val="24"/>
                <w:szCs w:val="24"/>
              </w:rPr>
              <w:t>Besprechen Sie solche Probleme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641E6">
              <w:rPr>
                <w:rFonts w:ascii="Arial" w:hAnsi="Arial" w:cs="Arial"/>
                <w:bCs/>
                <w:sz w:val="24"/>
                <w:szCs w:val="24"/>
              </w:rPr>
              <w:t xml:space="preserve">(Streit, Häme, Mobbing etc.) in einer „Klimakonferenz“ zu Stundenbeginn mit der Lerngruppe. Leiten Sie Ihre </w:t>
            </w:r>
            <w:proofErr w:type="spellStart"/>
            <w:r w:rsidRPr="00A641E6">
              <w:rPr>
                <w:rFonts w:ascii="Arial" w:hAnsi="Arial" w:cs="Arial"/>
                <w:bCs/>
                <w:sz w:val="24"/>
                <w:szCs w:val="24"/>
              </w:rPr>
              <w:t>SuS</w:t>
            </w:r>
            <w:proofErr w:type="spellEnd"/>
            <w:r w:rsidRPr="00A641E6">
              <w:rPr>
                <w:rFonts w:ascii="Arial" w:hAnsi="Arial" w:cs="Arial"/>
                <w:bCs/>
                <w:sz w:val="24"/>
                <w:szCs w:val="24"/>
              </w:rPr>
              <w:t xml:space="preserve"> konstruktiv an, sodass danach ein möglichst ungestörter Unterricht beginnen kann.</w:t>
            </w:r>
          </w:p>
        </w:tc>
      </w:tr>
      <w:tr w:rsidR="00A641E6" w:rsidRPr="00A641E6" w14:paraId="403B47B2" w14:textId="77777777" w:rsidTr="00A641E6">
        <w:trPr>
          <w:jc w:val="center"/>
        </w:trPr>
        <w:tc>
          <w:tcPr>
            <w:tcW w:w="9870" w:type="dxa"/>
            <w:shd w:val="clear" w:color="auto" w:fill="EBC791"/>
          </w:tcPr>
          <w:p w14:paraId="5793128B" w14:textId="7656BED8" w:rsidR="00A641E6" w:rsidRPr="00A641E6" w:rsidRDefault="00A641E6" w:rsidP="00A641E6">
            <w:pPr>
              <w:pStyle w:val="Listenabsatz"/>
              <w:numPr>
                <w:ilvl w:val="0"/>
                <w:numId w:val="31"/>
              </w:num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A641E6">
              <w:rPr>
                <w:rFonts w:ascii="Arial" w:hAnsi="Arial" w:cs="Arial"/>
                <w:b/>
                <w:sz w:val="24"/>
              </w:rPr>
              <w:t>Gehen Sie bei torpedierenden Störungen so vor:</w:t>
            </w:r>
          </w:p>
        </w:tc>
      </w:tr>
      <w:tr w:rsidR="00A641E6" w:rsidRPr="00A641E6" w14:paraId="6D67F477" w14:textId="77777777" w:rsidTr="00A641E6">
        <w:trPr>
          <w:jc w:val="center"/>
        </w:trPr>
        <w:tc>
          <w:tcPr>
            <w:tcW w:w="9870" w:type="dxa"/>
            <w:shd w:val="clear" w:color="auto" w:fill="auto"/>
          </w:tcPr>
          <w:p w14:paraId="6BE5E3FB" w14:textId="2C07CCEB" w:rsidR="00A641E6" w:rsidRPr="00A641E6" w:rsidRDefault="00A641E6" w:rsidP="00A641E6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A641E6">
              <w:rPr>
                <w:rFonts w:ascii="Arial" w:hAnsi="Arial" w:cs="Arial"/>
                <w:bCs/>
                <w:sz w:val="24"/>
                <w:szCs w:val="24"/>
              </w:rPr>
              <w:t>Dieser extreme Störungsgrad geht über die Möglichkeiten präventiver Maßnahmen hinaus. Hier hilft nur ein beratendes und Grenzen ziehendes Gespräch mit Ankündigung und im Wiederholungsfall mit Durchsetzung von Konsequenzen.</w:t>
            </w:r>
          </w:p>
        </w:tc>
      </w:tr>
    </w:tbl>
    <w:p w14:paraId="427F0BD2" w14:textId="77777777" w:rsidR="00893691" w:rsidRDefault="00893691" w:rsidP="00DB7B77"/>
    <w:sectPr w:rsidR="00893691" w:rsidSect="00893691">
      <w:headerReference w:type="default" r:id="rId7"/>
      <w:pgSz w:w="11906" w:h="16838" w:code="9"/>
      <w:pgMar w:top="-851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7818E" w14:textId="77777777" w:rsidR="00875D21" w:rsidRDefault="00875D21" w:rsidP="002A5D13">
      <w:pPr>
        <w:spacing w:after="0" w:line="240" w:lineRule="auto"/>
      </w:pPr>
      <w:r>
        <w:separator/>
      </w:r>
    </w:p>
  </w:endnote>
  <w:endnote w:type="continuationSeparator" w:id="0">
    <w:p w14:paraId="0F661C84" w14:textId="77777777" w:rsidR="00875D21" w:rsidRDefault="00875D21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Light"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1AB0A" w14:textId="77777777" w:rsidR="00875D21" w:rsidRDefault="00875D21" w:rsidP="002A5D13">
      <w:pPr>
        <w:spacing w:after="0" w:line="240" w:lineRule="auto"/>
      </w:pPr>
      <w:r>
        <w:separator/>
      </w:r>
    </w:p>
  </w:footnote>
  <w:footnote w:type="continuationSeparator" w:id="0">
    <w:p w14:paraId="68D407F3" w14:textId="77777777" w:rsidR="00875D21" w:rsidRDefault="00875D21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55"/>
      <w:gridCol w:w="6303"/>
    </w:tblGrid>
    <w:tr w:rsidR="00095CFC" w14:paraId="1F181B2A" w14:textId="77777777" w:rsidTr="00FE581F">
      <w:tc>
        <w:tcPr>
          <w:tcW w:w="1482" w:type="pct"/>
          <w:tcBorders>
            <w:bottom w:val="single" w:sz="4" w:space="0" w:color="auto"/>
          </w:tcBorders>
          <w:shd w:val="clear" w:color="auto" w:fill="D69028"/>
          <w:vAlign w:val="center"/>
        </w:tcPr>
        <w:p w14:paraId="1F181B26" w14:textId="47A86E02" w:rsidR="00095CFC" w:rsidRPr="00AD651E" w:rsidRDefault="003264E1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01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6D92B3"/>
          <w:vAlign w:val="bottom"/>
        </w:tcPr>
        <w:p w14:paraId="1F181B27" w14:textId="77777777" w:rsidR="00095CFC" w:rsidRPr="00012C7D" w:rsidRDefault="000C53E7" w:rsidP="00095CFC">
          <w:pPr>
            <w:pStyle w:val="Kopfzeile"/>
            <w:rPr>
              <w:rFonts w:ascii="Interstate Cond" w:hAnsi="Interstate Cond"/>
              <w:bCs/>
              <w:color w:val="76923C"/>
              <w:sz w:val="40"/>
              <w:u w:val="single" w:color="FFFFFF" w:themeColor="background1"/>
            </w:rPr>
          </w:pP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RECHT</w:t>
          </w:r>
          <w:r w:rsidRPr="00012C7D">
            <w:rPr>
              <w:rFonts w:ascii="Interstate Cond" w:hAnsi="Interstate Cond"/>
              <w:bCs/>
              <w:sz w:val="48"/>
              <w:u w:val="single" w:color="FFFFFF" w:themeColor="background1"/>
            </w:rPr>
            <w:t xml:space="preserve"> UND </w:t>
          </w: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SCHULMANAGEMENT</w:t>
          </w:r>
        </w:p>
        <w:p w14:paraId="1F181B28" w14:textId="77777777" w:rsidR="00012C7D" w:rsidRDefault="00012C7D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20"/>
            </w:rPr>
          </w:pPr>
        </w:p>
        <w:p w14:paraId="1F181B29" w14:textId="77777777" w:rsidR="00095CFC" w:rsidRPr="00012C7D" w:rsidRDefault="00095CFC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>Empfehlungen und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Arbeitshilfen für erfolgreiche</w:t>
          </w: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Schul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>leitungen</w:t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86888"/>
    <w:multiLevelType w:val="hybridMultilevel"/>
    <w:tmpl w:val="03842D22"/>
    <w:lvl w:ilvl="0" w:tplc="0407000F">
      <w:start w:val="1"/>
      <w:numFmt w:val="decimal"/>
      <w:lvlText w:val="%1."/>
      <w:lvlJc w:val="left"/>
      <w:pPr>
        <w:ind w:left="227" w:hanging="227"/>
      </w:pPr>
      <w:rPr>
        <w:rFonts w:hint="default"/>
        <w:color w:val="DB8C3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83198"/>
    <w:multiLevelType w:val="hybridMultilevel"/>
    <w:tmpl w:val="9DC4DB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23B99"/>
    <w:multiLevelType w:val="hybridMultilevel"/>
    <w:tmpl w:val="445CF0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94282D"/>
    <w:multiLevelType w:val="hybridMultilevel"/>
    <w:tmpl w:val="770EB21E"/>
    <w:lvl w:ilvl="0" w:tplc="B16AC1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016E05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0621D4"/>
    <w:multiLevelType w:val="hybridMultilevel"/>
    <w:tmpl w:val="F6C2055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DF0F38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D56D85"/>
    <w:multiLevelType w:val="hybridMultilevel"/>
    <w:tmpl w:val="1E5E5966"/>
    <w:lvl w:ilvl="0" w:tplc="1722E214">
      <w:start w:val="1"/>
      <w:numFmt w:val="bullet"/>
      <w:pStyle w:val="6aSGH-Auflistung"/>
      <w:lvlText w:val=""/>
      <w:lvlJc w:val="left"/>
      <w:pPr>
        <w:ind w:left="284" w:hanging="284"/>
      </w:pPr>
      <w:rPr>
        <w:rFonts w:ascii="Wingdings" w:hAnsi="Wingdings" w:hint="default"/>
        <w:color w:val="DB8C38"/>
      </w:rPr>
    </w:lvl>
    <w:lvl w:ilvl="1" w:tplc="00B6C11A">
      <w:numFmt w:val="bullet"/>
      <w:lvlText w:val="•"/>
      <w:lvlJc w:val="left"/>
      <w:pPr>
        <w:ind w:left="1788" w:hanging="708"/>
      </w:pPr>
      <w:rPr>
        <w:rFonts w:ascii="Fira Sans Light" w:eastAsiaTheme="minorHAnsi" w:hAnsi="Fira Sans Light" w:cs="Times New Roman (Textkörper CS)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B97A7B"/>
    <w:multiLevelType w:val="hybridMultilevel"/>
    <w:tmpl w:val="52AAA344"/>
    <w:lvl w:ilvl="0" w:tplc="F2809FB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EC6F9F"/>
    <w:multiLevelType w:val="hybridMultilevel"/>
    <w:tmpl w:val="83B2C2CC"/>
    <w:lvl w:ilvl="0" w:tplc="8CAAC23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28"/>
  </w:num>
  <w:num w:numId="4">
    <w:abstractNumId w:val="12"/>
  </w:num>
  <w:num w:numId="5">
    <w:abstractNumId w:val="6"/>
  </w:num>
  <w:num w:numId="6">
    <w:abstractNumId w:val="8"/>
  </w:num>
  <w:num w:numId="7">
    <w:abstractNumId w:val="16"/>
  </w:num>
  <w:num w:numId="8">
    <w:abstractNumId w:val="14"/>
  </w:num>
  <w:num w:numId="9">
    <w:abstractNumId w:val="9"/>
  </w:num>
  <w:num w:numId="10">
    <w:abstractNumId w:val="5"/>
  </w:num>
  <w:num w:numId="11">
    <w:abstractNumId w:val="24"/>
  </w:num>
  <w:num w:numId="12">
    <w:abstractNumId w:val="18"/>
  </w:num>
  <w:num w:numId="13">
    <w:abstractNumId w:val="19"/>
  </w:num>
  <w:num w:numId="14">
    <w:abstractNumId w:val="17"/>
  </w:num>
  <w:num w:numId="15">
    <w:abstractNumId w:val="20"/>
  </w:num>
  <w:num w:numId="16">
    <w:abstractNumId w:val="21"/>
  </w:num>
  <w:num w:numId="17">
    <w:abstractNumId w:val="22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31"/>
  </w:num>
  <w:num w:numId="24">
    <w:abstractNumId w:val="25"/>
  </w:num>
  <w:num w:numId="25">
    <w:abstractNumId w:val="27"/>
  </w:num>
  <w:num w:numId="26">
    <w:abstractNumId w:val="7"/>
  </w:num>
  <w:num w:numId="27">
    <w:abstractNumId w:val="15"/>
  </w:num>
  <w:num w:numId="28">
    <w:abstractNumId w:val="29"/>
  </w:num>
  <w:num w:numId="29">
    <w:abstractNumId w:val="26"/>
  </w:num>
  <w:num w:numId="30">
    <w:abstractNumId w:val="11"/>
  </w:num>
  <w:num w:numId="31">
    <w:abstractNumId w:val="30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A4A9E"/>
    <w:rsid w:val="001B429B"/>
    <w:rsid w:val="001F7B3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264E1"/>
    <w:rsid w:val="0035263B"/>
    <w:rsid w:val="003676E3"/>
    <w:rsid w:val="00380EF0"/>
    <w:rsid w:val="003E3400"/>
    <w:rsid w:val="00433F51"/>
    <w:rsid w:val="004639C0"/>
    <w:rsid w:val="00471D7D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3E72"/>
    <w:rsid w:val="00661981"/>
    <w:rsid w:val="006A5CFE"/>
    <w:rsid w:val="006B0218"/>
    <w:rsid w:val="006E18EF"/>
    <w:rsid w:val="006F7D13"/>
    <w:rsid w:val="007A7CA7"/>
    <w:rsid w:val="007B0290"/>
    <w:rsid w:val="007C0AE5"/>
    <w:rsid w:val="007E1A2E"/>
    <w:rsid w:val="00823B5B"/>
    <w:rsid w:val="00841FA8"/>
    <w:rsid w:val="008522CE"/>
    <w:rsid w:val="00852BFB"/>
    <w:rsid w:val="008616B8"/>
    <w:rsid w:val="008633AC"/>
    <w:rsid w:val="00875D21"/>
    <w:rsid w:val="00887070"/>
    <w:rsid w:val="00893691"/>
    <w:rsid w:val="008B1F83"/>
    <w:rsid w:val="008C0D29"/>
    <w:rsid w:val="008E62B1"/>
    <w:rsid w:val="00937B0B"/>
    <w:rsid w:val="009433D9"/>
    <w:rsid w:val="00983536"/>
    <w:rsid w:val="009B5DA6"/>
    <w:rsid w:val="009B721F"/>
    <w:rsid w:val="009C2E7D"/>
    <w:rsid w:val="009E6591"/>
    <w:rsid w:val="00A06C64"/>
    <w:rsid w:val="00A2122A"/>
    <w:rsid w:val="00A641E6"/>
    <w:rsid w:val="00AD651E"/>
    <w:rsid w:val="00AF17D9"/>
    <w:rsid w:val="00B01FFE"/>
    <w:rsid w:val="00B076D9"/>
    <w:rsid w:val="00B707AF"/>
    <w:rsid w:val="00B81586"/>
    <w:rsid w:val="00B87D52"/>
    <w:rsid w:val="00BD49AA"/>
    <w:rsid w:val="00BD71E9"/>
    <w:rsid w:val="00BD7A53"/>
    <w:rsid w:val="00C310AF"/>
    <w:rsid w:val="00C42CEF"/>
    <w:rsid w:val="00C73E1A"/>
    <w:rsid w:val="00C9289F"/>
    <w:rsid w:val="00CB6CA9"/>
    <w:rsid w:val="00CC38C8"/>
    <w:rsid w:val="00D56265"/>
    <w:rsid w:val="00D9199A"/>
    <w:rsid w:val="00DB32C7"/>
    <w:rsid w:val="00DB7B77"/>
    <w:rsid w:val="00E028D9"/>
    <w:rsid w:val="00E2265E"/>
    <w:rsid w:val="00E6220D"/>
    <w:rsid w:val="00E74AD6"/>
    <w:rsid w:val="00E933B7"/>
    <w:rsid w:val="00ED0343"/>
    <w:rsid w:val="00F00CA3"/>
    <w:rsid w:val="00F20663"/>
    <w:rsid w:val="00F94A33"/>
    <w:rsid w:val="00FA19D7"/>
    <w:rsid w:val="00FC278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paragraph" w:customStyle="1" w:styleId="7aSGHKastenHead">
    <w:name w:val="7a_SGH_Kasten_Head"/>
    <w:basedOn w:val="Standard"/>
    <w:qFormat/>
    <w:rsid w:val="001F7B3B"/>
    <w:pPr>
      <w:spacing w:before="120" w:after="0" w:line="260" w:lineRule="exact"/>
      <w:jc w:val="both"/>
    </w:pPr>
    <w:rPr>
      <w:rFonts w:asciiTheme="minorHAnsi" w:eastAsiaTheme="minorHAnsi" w:hAnsiTheme="minorHAnsi" w:cstheme="minorHAnsi"/>
      <w:b/>
      <w:bCs/>
      <w:sz w:val="24"/>
      <w:szCs w:val="28"/>
    </w:rPr>
  </w:style>
  <w:style w:type="paragraph" w:customStyle="1" w:styleId="7bSGHKastenSubhead">
    <w:name w:val="7b_SGH_Kasten_Subhead"/>
    <w:qFormat/>
    <w:rsid w:val="001F7B3B"/>
    <w:pPr>
      <w:spacing w:after="120"/>
    </w:pPr>
    <w:rPr>
      <w:rFonts w:asciiTheme="minorHAnsi" w:eastAsiaTheme="minorHAnsi" w:hAnsiTheme="minorHAnsi" w:cstheme="minorHAnsi"/>
      <w:b/>
      <w:bCs/>
      <w:sz w:val="18"/>
      <w:szCs w:val="18"/>
      <w:lang w:eastAsia="en-US"/>
    </w:rPr>
  </w:style>
  <w:style w:type="paragraph" w:customStyle="1" w:styleId="7cSGHKastenText">
    <w:name w:val="7c_SGH_Kasten_Text"/>
    <w:qFormat/>
    <w:rsid w:val="001F7B3B"/>
    <w:pPr>
      <w:spacing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  <w:lang w:eastAsia="en-US"/>
    </w:rPr>
  </w:style>
  <w:style w:type="paragraph" w:customStyle="1" w:styleId="7dSGHKastenAuflistung">
    <w:name w:val="7d_SGH_Kasten_Auflistung"/>
    <w:basedOn w:val="7cSGHKastenText"/>
    <w:qFormat/>
    <w:rsid w:val="001F7B3B"/>
    <w:pPr>
      <w:numPr>
        <w:numId w:val="23"/>
      </w:numPr>
    </w:pPr>
  </w:style>
  <w:style w:type="table" w:customStyle="1" w:styleId="Tabellenraster1">
    <w:name w:val="Tabellenraster1"/>
    <w:basedOn w:val="NormaleTabelle"/>
    <w:next w:val="Tabellenraster"/>
    <w:uiPriority w:val="39"/>
    <w:rsid w:val="001F7B3B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1F7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eSGHKasten-Linkzeile">
    <w:name w:val="7e_SGH_Kasten-Linkzeile"/>
    <w:basedOn w:val="Standard"/>
    <w:qFormat/>
    <w:rsid w:val="00E933B7"/>
    <w:pPr>
      <w:spacing w:after="0" w:line="260" w:lineRule="exact"/>
      <w:jc w:val="both"/>
    </w:pPr>
    <w:rPr>
      <w:rFonts w:ascii="Fira Sans Condensed" w:eastAsiaTheme="minorHAnsi" w:hAnsi="Fira Sans Condensed" w:cs="Times New Roman (Textkörper CS)"/>
      <w:b/>
      <w:bCs/>
      <w:sz w:val="18"/>
      <w:szCs w:val="19"/>
    </w:rPr>
  </w:style>
  <w:style w:type="paragraph" w:customStyle="1" w:styleId="SGHArbeitshilfen">
    <w:name w:val="SGH_Arbeitshilfen"/>
    <w:basedOn w:val="Standard"/>
    <w:qFormat/>
    <w:rsid w:val="00E933B7"/>
    <w:pPr>
      <w:framePr w:hSpace="142" w:wrap="around" w:vAnchor="page" w:hAnchor="page" w:x="511" w:y="13042"/>
      <w:spacing w:after="60" w:line="260" w:lineRule="exact"/>
    </w:pPr>
    <w:rPr>
      <w:rFonts w:ascii="Fira Sans Light" w:eastAsiaTheme="minorHAnsi" w:hAnsi="Fira Sans Light" w:cs="Times New Roman (Textkörper CS)"/>
      <w:sz w:val="18"/>
      <w:szCs w:val="19"/>
    </w:rPr>
  </w:style>
  <w:style w:type="paragraph" w:customStyle="1" w:styleId="4SGHSubhead">
    <w:name w:val="4_SGH_Subhead"/>
    <w:qFormat/>
    <w:rsid w:val="009C2E7D"/>
    <w:pPr>
      <w:spacing w:line="260" w:lineRule="exact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6aSGH-Auflistung">
    <w:name w:val="6a_SGH-Auflistung"/>
    <w:basedOn w:val="Standard"/>
    <w:qFormat/>
    <w:rsid w:val="009C2E7D"/>
    <w:pPr>
      <w:numPr>
        <w:numId w:val="28"/>
      </w:numPr>
      <w:spacing w:after="260" w:line="260" w:lineRule="exact"/>
      <w:contextualSpacing/>
      <w:jc w:val="both"/>
    </w:pPr>
    <w:rPr>
      <w:rFonts w:ascii="Fira Sans Light" w:eastAsiaTheme="minorHAnsi" w:hAnsi="Fira Sans Light" w:cs="Times New Roman (Textkörper CS)"/>
      <w:sz w:val="18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1462</Characters>
  <Application>Microsoft Office Word</Application>
  <DocSecurity>0</DocSecurity>
  <Lines>97</Lines>
  <Paragraphs>67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2021-12-17T13:26:00Z</dcterms:created>
  <dcterms:modified xsi:type="dcterms:W3CDTF">2021-12-17T13:26:00Z</dcterms:modified>
</cp:coreProperties>
</file>