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749BD6DE" w14:textId="2F5E8FE0" w:rsidR="0000135C" w:rsidRDefault="006E18EF" w:rsidP="0000135C">
      <w:pPr>
        <w:tabs>
          <w:tab w:val="left" w:pos="2430"/>
        </w:tabs>
      </w:pPr>
      <w:r>
        <w:tab/>
      </w:r>
    </w:p>
    <w:tbl>
      <w:tblPr>
        <w:tblStyle w:val="Tabellenraster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214"/>
        <w:gridCol w:w="3307"/>
        <w:gridCol w:w="2835"/>
      </w:tblGrid>
      <w:tr w:rsidR="0000135C" w:rsidRPr="0000135C" w14:paraId="76D72535" w14:textId="77777777" w:rsidTr="00CD1F99">
        <w:trPr>
          <w:trHeight w:val="340"/>
          <w:jc w:val="center"/>
        </w:trPr>
        <w:tc>
          <w:tcPr>
            <w:tcW w:w="11052" w:type="dxa"/>
            <w:gridSpan w:val="4"/>
            <w:shd w:val="clear" w:color="auto" w:fill="6D92B3"/>
          </w:tcPr>
          <w:p w14:paraId="42028C8F" w14:textId="49E6037C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0135C">
              <w:rPr>
                <w:rFonts w:ascii="Arial" w:hAnsi="Arial" w:cs="Arial"/>
                <w:b/>
                <w:sz w:val="28"/>
                <w:szCs w:val="28"/>
              </w:rPr>
              <w:t>Mobilitätsbildung in der Schule – Themen und Tipps zur Umsetzung</w:t>
            </w:r>
          </w:p>
        </w:tc>
      </w:tr>
      <w:tr w:rsidR="0000135C" w:rsidRPr="0000135C" w14:paraId="4D09A139" w14:textId="77777777" w:rsidTr="00CD1F99">
        <w:trPr>
          <w:trHeight w:val="340"/>
          <w:jc w:val="center"/>
        </w:trPr>
        <w:tc>
          <w:tcPr>
            <w:tcW w:w="1696" w:type="dxa"/>
            <w:shd w:val="clear" w:color="auto" w:fill="EBC791"/>
          </w:tcPr>
          <w:p w14:paraId="36BB6B99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EBC791"/>
          </w:tcPr>
          <w:p w14:paraId="4F1BA479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135C">
              <w:rPr>
                <w:rFonts w:ascii="Arial" w:hAnsi="Arial" w:cs="Arial"/>
                <w:b/>
                <w:sz w:val="24"/>
                <w:szCs w:val="24"/>
              </w:rPr>
              <w:t>Themen-Pool</w:t>
            </w:r>
          </w:p>
          <w:p w14:paraId="72819244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135C">
              <w:rPr>
                <w:rFonts w:ascii="Arial" w:hAnsi="Arial" w:cs="Arial"/>
                <w:b/>
                <w:sz w:val="24"/>
                <w:szCs w:val="24"/>
              </w:rPr>
              <w:t>(Quelle: KMK-Empfehlung vom 10.05.2012 mit eigenen Ergänzungen)</w:t>
            </w:r>
          </w:p>
        </w:tc>
        <w:tc>
          <w:tcPr>
            <w:tcW w:w="3307" w:type="dxa"/>
            <w:shd w:val="clear" w:color="auto" w:fill="EBC791"/>
          </w:tcPr>
          <w:p w14:paraId="6FD53283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135C">
              <w:rPr>
                <w:rFonts w:ascii="Arial" w:hAnsi="Arial" w:cs="Arial"/>
                <w:b/>
                <w:sz w:val="24"/>
                <w:szCs w:val="24"/>
              </w:rPr>
              <w:t>Vorschläge zur Umsetzung im Unterricht</w:t>
            </w:r>
          </w:p>
        </w:tc>
        <w:tc>
          <w:tcPr>
            <w:tcW w:w="2835" w:type="dxa"/>
            <w:shd w:val="clear" w:color="auto" w:fill="EBC791"/>
          </w:tcPr>
          <w:p w14:paraId="60FFB683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135C">
              <w:rPr>
                <w:rFonts w:ascii="Arial" w:hAnsi="Arial" w:cs="Arial"/>
                <w:b/>
                <w:sz w:val="24"/>
                <w:szCs w:val="24"/>
              </w:rPr>
              <w:t>Umsetzung im außerunterrichtlichen Bereich</w:t>
            </w:r>
          </w:p>
        </w:tc>
      </w:tr>
      <w:tr w:rsidR="00CD1F99" w:rsidRPr="0000135C" w14:paraId="696FBD22" w14:textId="77777777" w:rsidTr="00CD1F99">
        <w:trPr>
          <w:trHeight w:val="340"/>
          <w:jc w:val="center"/>
        </w:trPr>
        <w:tc>
          <w:tcPr>
            <w:tcW w:w="1696" w:type="dxa"/>
          </w:tcPr>
          <w:p w14:paraId="057AD530" w14:textId="24822879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135C">
              <w:rPr>
                <w:rFonts w:ascii="Arial" w:hAnsi="Arial" w:cs="Arial"/>
                <w:b/>
                <w:sz w:val="24"/>
                <w:szCs w:val="24"/>
              </w:rPr>
              <w:t>Sicherheits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0135C">
              <w:rPr>
                <w:rFonts w:ascii="Arial" w:hAnsi="Arial" w:cs="Arial"/>
                <w:b/>
                <w:sz w:val="24"/>
                <w:szCs w:val="24"/>
              </w:rPr>
              <w:t>erziehung</w:t>
            </w:r>
          </w:p>
        </w:tc>
        <w:tc>
          <w:tcPr>
            <w:tcW w:w="3214" w:type="dxa"/>
          </w:tcPr>
          <w:p w14:paraId="54513EDE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Schulwegtraining</w:t>
            </w:r>
          </w:p>
          <w:p w14:paraId="4BE5BFD6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Verkehrsregeln lernen</w:t>
            </w:r>
          </w:p>
          <w:p w14:paraId="47FD51E1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Radfahrausbildung</w:t>
            </w:r>
          </w:p>
          <w:p w14:paraId="5C3AF61C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Einstieg in den motorisierten Verkehr (Mofa, Pedelec, E-Scooter, Begleitetes Fahren)</w:t>
            </w:r>
          </w:p>
        </w:tc>
        <w:tc>
          <w:tcPr>
            <w:tcW w:w="3307" w:type="dxa"/>
          </w:tcPr>
          <w:p w14:paraId="5D00740D" w14:textId="454D3EC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Fächer Sport, Musik, Sachkunde: Unterrichtsreihe Übungen zur Motorik und Wahrnehmung, z. B. durch „Rasselspiel“: 2 Kinder spielen Fangen mit verbundenen Augen. Einziger Anhaltspunkt: 2 Rasseln, die die Spieler bei jedem Schritt verraten. Weitere Anregungen unter: https://verkehrshelden.com/artikel/kitaschule/game</w:t>
            </w:r>
          </w:p>
          <w:p w14:paraId="7570F56E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Fach Deutsch und Fremdsprachen: Theorie mit praktischer Anwendung: Geschichten zum Thema „Jung und motorisiert“; beschriebene Situationen umwandeln in kurze Theaterszenen. Dazu assoziatives Denken und Wortschatz trainieren mit ABC- oder Wortfeldlisten nach Vera Birkenbihl (</w:t>
            </w:r>
            <w:hyperlink r:id="rId7">
              <w:r w:rsidRPr="0000135C">
                <w:rPr>
                  <w:rFonts w:ascii="Arial" w:hAnsi="Arial" w:cs="Arial"/>
                  <w:bCs/>
                  <w:sz w:val="24"/>
                  <w:szCs w:val="24"/>
                </w:rPr>
                <w:t>www.birkenbihl.com</w:t>
              </w:r>
            </w:hyperlink>
            <w:r w:rsidRPr="0000135C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14:paraId="09846D95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Regelmäßiger Beitrag zum Sportfest oder zu Schulfesten:</w:t>
            </w:r>
          </w:p>
          <w:p w14:paraId="386CA0E8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Geschicklichkeits-Parcours für Fahrrad und E-Scooter aufbauen und Urkunden verleihen.</w:t>
            </w:r>
          </w:p>
          <w:p w14:paraId="3A65AB77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Straßenverkehrs-Quiz</w:t>
            </w:r>
          </w:p>
        </w:tc>
      </w:tr>
      <w:tr w:rsidR="00CD1F99" w:rsidRPr="0000135C" w14:paraId="2BDFF258" w14:textId="77777777" w:rsidTr="00CD1F99">
        <w:trPr>
          <w:trHeight w:val="340"/>
          <w:jc w:val="center"/>
        </w:trPr>
        <w:tc>
          <w:tcPr>
            <w:tcW w:w="1696" w:type="dxa"/>
          </w:tcPr>
          <w:p w14:paraId="7EB7B76F" w14:textId="30577736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135C">
              <w:rPr>
                <w:rFonts w:ascii="Arial" w:hAnsi="Arial" w:cs="Arial"/>
                <w:b/>
                <w:sz w:val="24"/>
                <w:szCs w:val="24"/>
              </w:rPr>
              <w:t>Sozial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0135C">
              <w:rPr>
                <w:rFonts w:ascii="Arial" w:hAnsi="Arial" w:cs="Arial"/>
                <w:b/>
                <w:sz w:val="24"/>
                <w:szCs w:val="24"/>
              </w:rPr>
              <w:t>erziehung</w:t>
            </w:r>
          </w:p>
        </w:tc>
        <w:tc>
          <w:tcPr>
            <w:tcW w:w="3214" w:type="dxa"/>
          </w:tcPr>
          <w:p w14:paraId="690527B7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Soziales Verhalten im Verkehr</w:t>
            </w:r>
          </w:p>
          <w:p w14:paraId="05D18435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lastRenderedPageBreak/>
              <w:t>Selbstständige Teilnahme am Straßenverkehr</w:t>
            </w:r>
          </w:p>
          <w:p w14:paraId="51C987DF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Alkohol und Drogen im Straßenverkehr</w:t>
            </w:r>
          </w:p>
        </w:tc>
        <w:tc>
          <w:tcPr>
            <w:tcW w:w="3307" w:type="dxa"/>
          </w:tcPr>
          <w:p w14:paraId="3B6E4CB4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Fächer Sach-/Sozialkunde: Unterrichtsreihe „Wie kommt es zu Unfällen im Straßenverkehr?“: Unfallstatistiken und </w:t>
            </w:r>
            <w:r w:rsidRPr="0000135C">
              <w:rPr>
                <w:rFonts w:ascii="Arial" w:hAnsi="Arial" w:cs="Arial"/>
                <w:bCs/>
                <w:sz w:val="24"/>
                <w:szCs w:val="24"/>
              </w:rPr>
              <w:lastRenderedPageBreak/>
              <w:t>Unfallgründe analysieren. Soziales/regeltreues und asoziales/regelwidriges Verhalten definieren und Ziele für die Lerngruppe aufstellen (eine Kopie davon in der Fahrrad-Werkstatt aufhängen). Helmpflicht, Handy-Lesen beim Überqueren von Straßen, Einfluss von Alkohol und Drogen auf das Führen von Verkehrsmitteln und die Teilnahme am ÖPNV thematisieren.</w:t>
            </w:r>
          </w:p>
        </w:tc>
        <w:tc>
          <w:tcPr>
            <w:tcW w:w="2835" w:type="dxa"/>
          </w:tcPr>
          <w:p w14:paraId="1181754D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Wiederkehrender Projekttag „Verhalten im ÖPNV“:</w:t>
            </w:r>
          </w:p>
          <w:p w14:paraId="2E7DD1A2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lastRenderedPageBreak/>
              <w:t>Videos zu regelwidrigem Verhalten im ÖPNV. Praktische Übungen auf dem Schulhof (Ein- und Aussteigen aus Verkehrsmitteln); angemessenes Verhalten an Bord von Bus, Bahn, Zug)</w:t>
            </w:r>
          </w:p>
        </w:tc>
      </w:tr>
      <w:tr w:rsidR="00CD1F99" w:rsidRPr="0000135C" w14:paraId="33554D40" w14:textId="77777777" w:rsidTr="00CD1F99">
        <w:trPr>
          <w:trHeight w:val="340"/>
          <w:jc w:val="center"/>
        </w:trPr>
        <w:tc>
          <w:tcPr>
            <w:tcW w:w="1696" w:type="dxa"/>
          </w:tcPr>
          <w:p w14:paraId="4960E02D" w14:textId="0B8C2C04" w:rsidR="0000135C" w:rsidRPr="0000135C" w:rsidRDefault="0000135C" w:rsidP="00FC38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135C">
              <w:rPr>
                <w:rFonts w:ascii="Arial" w:hAnsi="Arial" w:cs="Arial"/>
                <w:b/>
                <w:sz w:val="24"/>
                <w:szCs w:val="24"/>
              </w:rPr>
              <w:lastRenderedPageBreak/>
              <w:t>Umwelt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0135C">
              <w:rPr>
                <w:rFonts w:ascii="Arial" w:hAnsi="Arial" w:cs="Arial"/>
                <w:b/>
                <w:sz w:val="24"/>
                <w:szCs w:val="24"/>
              </w:rPr>
              <w:t>erziehung Bildung für Nachhaltige Entwicklung (BNE)</w:t>
            </w:r>
          </w:p>
        </w:tc>
        <w:tc>
          <w:tcPr>
            <w:tcW w:w="3214" w:type="dxa"/>
          </w:tcPr>
          <w:p w14:paraId="2484FFC2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Vorteile des Zu-Fuß-Gehens</w:t>
            </w:r>
          </w:p>
          <w:p w14:paraId="1D546E0D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Formen der Mobilität</w:t>
            </w:r>
          </w:p>
          <w:p w14:paraId="4B0EA185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Bewusste Streckengestaltung</w:t>
            </w:r>
          </w:p>
          <w:p w14:paraId="0B573905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Ökonomische und ökologische Mobilitätsaspekte</w:t>
            </w:r>
          </w:p>
          <w:p w14:paraId="2C333628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Alternative Antriebstechniken</w:t>
            </w:r>
          </w:p>
          <w:p w14:paraId="43B15EFE" w14:textId="77777777" w:rsidR="0000135C" w:rsidRPr="0000135C" w:rsidRDefault="0000135C" w:rsidP="00FC3894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9" w:hanging="218"/>
              <w:rPr>
                <w:rFonts w:ascii="Arial" w:hAnsi="Arial" w:cs="Arial"/>
                <w:sz w:val="24"/>
              </w:rPr>
            </w:pPr>
            <w:r w:rsidRPr="0000135C">
              <w:rPr>
                <w:rFonts w:ascii="Arial" w:hAnsi="Arial" w:cs="Arial"/>
                <w:sz w:val="24"/>
              </w:rPr>
              <w:t>Tourismus, Verkehrswirtschaft</w:t>
            </w:r>
          </w:p>
        </w:tc>
        <w:tc>
          <w:tcPr>
            <w:tcW w:w="3307" w:type="dxa"/>
          </w:tcPr>
          <w:p w14:paraId="06961489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Fächer Erdkunde, Mathematik und Naturwissenschaften: Unterrichtsreihen</w:t>
            </w:r>
          </w:p>
          <w:p w14:paraId="469E9294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„Wie wirkt sich der Tourismus auf die Umwelt aus?“</w:t>
            </w:r>
          </w:p>
          <w:p w14:paraId="4C6A0431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„Welche Mobilitätsentscheidungen treffe ich und meine Familie zu welchen Zwecken?“ „Welche Vor- und Nachteile (Zeit, Kosten, Umwelteffekt) ergeben sich daraus?“</w:t>
            </w:r>
          </w:p>
          <w:p w14:paraId="1A2FB022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Alternative Antriebstechniken: Wie funktionieren sie? Wie hoch ist der Ausstoß von Schadstoffen? Welche Bodenschätze werden dafür abgebaut?</w:t>
            </w:r>
          </w:p>
          <w:p w14:paraId="3284C425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659755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AG Fahrradwerkstatt für kleine Reparaturen unter fachkundiger, ehrenamtlicher Anleitung. Vorfinanzierung durch den Schulverein. Spenden für erfolgte Reparaturen fließen zurück.</w:t>
            </w:r>
          </w:p>
          <w:p w14:paraId="166B7432" w14:textId="77777777" w:rsidR="0000135C" w:rsidRPr="0000135C" w:rsidRDefault="0000135C" w:rsidP="00FC389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0135C">
              <w:rPr>
                <w:rFonts w:ascii="Arial" w:hAnsi="Arial" w:cs="Arial"/>
                <w:bCs/>
                <w:sz w:val="24"/>
                <w:szCs w:val="24"/>
              </w:rPr>
              <w:t>Ökologische Klassenfahrten per Zug und Fahrrad (Ausleihe vor Ort). Schwerpunkt: „Wir lernen die Natur kennen und wertschätzen sie.“</w:t>
            </w:r>
          </w:p>
        </w:tc>
      </w:tr>
    </w:tbl>
    <w:p w14:paraId="1DE35415" w14:textId="77777777" w:rsidR="0000135C" w:rsidRPr="0000135C" w:rsidRDefault="0000135C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00135C" w:rsidRPr="0000135C" w:rsidSect="00290FE6">
      <w:headerReference w:type="default" r:id="rId8"/>
      <w:pgSz w:w="11906" w:h="16838" w:code="9"/>
      <w:pgMar w:top="-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7232" w14:textId="77777777" w:rsidR="00530DBD" w:rsidRDefault="00530DBD" w:rsidP="002A5D13">
      <w:pPr>
        <w:spacing w:after="0" w:line="240" w:lineRule="auto"/>
      </w:pPr>
      <w:r>
        <w:separator/>
      </w:r>
    </w:p>
  </w:endnote>
  <w:endnote w:type="continuationSeparator" w:id="0">
    <w:p w14:paraId="4715D587" w14:textId="77777777" w:rsidR="00530DBD" w:rsidRDefault="00530DBD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005D" w14:textId="77777777" w:rsidR="00530DBD" w:rsidRDefault="00530DBD" w:rsidP="002A5D13">
      <w:pPr>
        <w:spacing w:after="0" w:line="240" w:lineRule="auto"/>
      </w:pPr>
      <w:r>
        <w:separator/>
      </w:r>
    </w:p>
  </w:footnote>
  <w:footnote w:type="continuationSeparator" w:id="0">
    <w:p w14:paraId="4F70B6E0" w14:textId="77777777" w:rsidR="00530DBD" w:rsidRDefault="00530DBD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D5EF979" w:rsidR="00095CFC" w:rsidRPr="00AD651E" w:rsidRDefault="00290FE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0135C"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10B46"/>
    <w:multiLevelType w:val="hybridMultilevel"/>
    <w:tmpl w:val="3BFA6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BC1"/>
    <w:multiLevelType w:val="hybridMultilevel"/>
    <w:tmpl w:val="5AD06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51DE5"/>
    <w:multiLevelType w:val="hybridMultilevel"/>
    <w:tmpl w:val="0194C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6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23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24"/>
  </w:num>
  <w:num w:numId="25">
    <w:abstractNumId w:val="25"/>
  </w:num>
  <w:num w:numId="26">
    <w:abstractNumId w:val="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135C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1C05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90FE6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30DBD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D1F99"/>
    <w:rsid w:val="00D56265"/>
    <w:rsid w:val="00D9199A"/>
    <w:rsid w:val="00DB32C7"/>
    <w:rsid w:val="00E028D9"/>
    <w:rsid w:val="00E2265E"/>
    <w:rsid w:val="00E6220D"/>
    <w:rsid w:val="00E6769C"/>
    <w:rsid w:val="00E74AD6"/>
    <w:rsid w:val="00ED0343"/>
    <w:rsid w:val="00F00CA3"/>
    <w:rsid w:val="00F20663"/>
    <w:rsid w:val="00F94A33"/>
    <w:rsid w:val="00FA19D7"/>
    <w:rsid w:val="00FC278E"/>
    <w:rsid w:val="00FC389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13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rkenbih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2021-10-08T12:29:00Z</dcterms:created>
  <dcterms:modified xsi:type="dcterms:W3CDTF">2021-10-08T12:30:00Z</dcterms:modified>
</cp:coreProperties>
</file>