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:rsidR="00C70C80" w:rsidRDefault="006E18EF" w:rsidP="00C70C80">
      <w:pPr>
        <w:tabs>
          <w:tab w:val="left" w:pos="2430"/>
        </w:tabs>
      </w:pPr>
      <w:r>
        <w:tab/>
      </w:r>
    </w:p>
    <w:tbl>
      <w:tblPr>
        <w:tblStyle w:val="Tabellenraster"/>
        <w:tblW w:w="10423" w:type="dxa"/>
        <w:jc w:val="center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33"/>
        <w:gridCol w:w="5090"/>
      </w:tblGrid>
      <w:tr w:rsidR="00C70C80" w:rsidRPr="00C70C80" w:rsidTr="00C70C80">
        <w:trPr>
          <w:trHeight w:val="496"/>
          <w:jc w:val="center"/>
        </w:trPr>
        <w:tc>
          <w:tcPr>
            <w:tcW w:w="10423" w:type="dxa"/>
            <w:gridSpan w:val="2"/>
            <w:shd w:val="clear" w:color="auto" w:fill="6D92B3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r w:rsidRPr="00C70C80">
              <w:rPr>
                <w:rFonts w:ascii="Arial" w:hAnsi="Arial"/>
                <w:b/>
                <w:sz w:val="28"/>
                <w:szCs w:val="28"/>
              </w:rPr>
              <w:t>Übersicht: Gespräche mit schwierigen Eltern souverän steuern</w:t>
            </w:r>
            <w:bookmarkEnd w:id="0"/>
          </w:p>
        </w:tc>
      </w:tr>
      <w:tr w:rsidR="00C70C80" w:rsidRPr="00C70C80" w:rsidTr="00C70C80">
        <w:trPr>
          <w:trHeight w:val="713"/>
          <w:jc w:val="center"/>
        </w:trPr>
        <w:tc>
          <w:tcPr>
            <w:tcW w:w="5333" w:type="dxa"/>
            <w:shd w:val="clear" w:color="auto" w:fill="EBC791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1. Gesprächseröffnung – nutzen Sie diese Symmetrie-Strategien</w:t>
            </w:r>
          </w:p>
        </w:tc>
        <w:tc>
          <w:tcPr>
            <w:tcW w:w="5090" w:type="dxa"/>
            <w:shd w:val="clear" w:color="auto" w:fill="EBC791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Diese Ziele können Sie erreichen</w:t>
            </w:r>
          </w:p>
        </w:tc>
      </w:tr>
      <w:tr w:rsidR="00C70C80" w:rsidRPr="00C70C80" w:rsidTr="00C70C80">
        <w:trPr>
          <w:trHeight w:val="1261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Geben Sie zunächst der Beziehungsebene Raum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Beginnen Sie das Gespräch höflich und freundlich.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Zeigen Sie Interesse an Ihren Gesprächspartnern.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Seien Sie offen und hüten Sie sich vor jeglicher Voreingenommenheit.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Berücksichtigen Sie die unterschiedlichen Sichtweisen.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Reduktion von Asymmetrie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Nervosität und Reizbarkeit der Eltern werden gleich zu Beginn gedämpft.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Eltern spüren die Akzeptanz und empfinden weniger Angriffslust.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Das Signal „Anerkennung der Eltern-Position“ erreicht Ihr Gegenüber als Symmetrie-Botschaft.</w:t>
            </w:r>
          </w:p>
        </w:tc>
      </w:tr>
      <w:tr w:rsidR="00C70C80" w:rsidRPr="00C70C80" w:rsidTr="00C70C80">
        <w:trPr>
          <w:trHeight w:val="1916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Betreten Sie jetzt die Sachebene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Wenden Sie sich der Lernerfolgsdiagnose zu.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Konzentrieren Sie sich dabei auf das Wesentliche und bieten Sie konkrete Hilfe an.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Meiden Sie die 3 Eigenfallen.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Werfen Sie Lob und Kritik in die Waagschalen.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Aufnahme der Lernerfolgsdiagnose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Die Eltern erkennen Ihre Professionalität und Ihr Bemühen um das Kind.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Sie fühlen: Unsere Erziehung war nicht falsch, und unser Kind wird auch positiv gesehen.</w:t>
            </w:r>
          </w:p>
        </w:tc>
      </w:tr>
      <w:tr w:rsidR="00C70C80" w:rsidRPr="00C70C80" w:rsidTr="00C70C80">
        <w:trPr>
          <w:trHeight w:val="992"/>
          <w:jc w:val="center"/>
        </w:trPr>
        <w:tc>
          <w:tcPr>
            <w:tcW w:w="5333" w:type="dxa"/>
            <w:shd w:val="clear" w:color="auto" w:fill="EBC791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2. Die Situation spitzt sich zu: Die Eltern bauen ihrerseits Asymmetrie durch Kritik auf – agieren Sie jetzt so!</w:t>
            </w:r>
          </w:p>
        </w:tc>
        <w:tc>
          <w:tcPr>
            <w:tcW w:w="5090" w:type="dxa"/>
            <w:shd w:val="clear" w:color="auto" w:fill="EBC791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 xml:space="preserve"> </w:t>
            </w:r>
          </w:p>
        </w:tc>
      </w:tr>
      <w:tr w:rsidR="00C70C80" w:rsidRPr="00C70C80" w:rsidTr="00C70C80">
        <w:trPr>
          <w:trHeight w:val="713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Nutzen Sie diese Steuerungstechniken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</w:p>
        </w:tc>
      </w:tr>
      <w:tr w:rsidR="00C70C80" w:rsidRPr="00C70C80" w:rsidTr="00C70C80">
        <w:trPr>
          <w:trHeight w:val="713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Wechseln Sie auf die Metaebene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„Entführung“ auf die höhere Plattform</w:t>
            </w:r>
          </w:p>
        </w:tc>
      </w:tr>
      <w:tr w:rsidR="00C70C80" w:rsidRPr="00C70C80" w:rsidTr="00C70C80">
        <w:trPr>
          <w:trHeight w:val="1163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 xml:space="preserve">Verlassen Sie die Emotionsebene: </w:t>
            </w:r>
            <w:r w:rsidRPr="00C70C80">
              <w:rPr>
                <w:rFonts w:ascii="Arial" w:hAnsi="Arial"/>
                <w:sz w:val="24"/>
                <w:szCs w:val="28"/>
              </w:rPr>
              <w:t>Präzisieren Sie den Gesprächsgegenstand und das Ziel.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Die Eltern folgen Ihnen gedanklich auf die übergeordnete Ebene und lassen dadurch ihre Einwände in den Hintergrund treten.</w:t>
            </w:r>
          </w:p>
        </w:tc>
      </w:tr>
      <w:tr w:rsidR="00C70C80" w:rsidRPr="00C70C80" w:rsidTr="00C70C80">
        <w:trPr>
          <w:trHeight w:val="1163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Trennen Sie nach Zeitebenen:</w:t>
            </w:r>
            <w:r w:rsidRPr="00C70C80">
              <w:rPr>
                <w:rFonts w:ascii="Arial" w:hAnsi="Arial"/>
                <w:sz w:val="24"/>
                <w:szCs w:val="28"/>
              </w:rPr>
              <w:t xml:space="preserve"> Im letzten Halbjahr … In diesem Halbjahr dagegen …  Um das Versetzungsziel zu erreichen …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Die Aufteilung lässt die schlechte Nachricht als nicht so niederschmetternd erscheinen.</w:t>
            </w:r>
          </w:p>
        </w:tc>
      </w:tr>
      <w:tr w:rsidR="00C70C80" w:rsidRPr="00C70C80" w:rsidTr="00C70C80">
        <w:trPr>
          <w:trHeight w:val="713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Fangen Sie Einwände mit den „Um“-Techniken auf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</w:p>
        </w:tc>
      </w:tr>
      <w:tr w:rsidR="00C70C80" w:rsidRPr="00C70C80" w:rsidTr="00C70C80">
        <w:trPr>
          <w:trHeight w:val="1985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lastRenderedPageBreak/>
              <w:t>Umlenken</w:t>
            </w:r>
            <w:r w:rsidRPr="00C70C80">
              <w:rPr>
                <w:rFonts w:ascii="Arial" w:hAnsi="Arial"/>
                <w:sz w:val="24"/>
                <w:szCs w:val="28"/>
              </w:rPr>
              <w:t xml:space="preserve"> („Sie sprechen das zu Recht an, aber ...“)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Umdeuten</w:t>
            </w:r>
            <w:r w:rsidRPr="00C70C80">
              <w:rPr>
                <w:rFonts w:ascii="Arial" w:hAnsi="Arial"/>
                <w:sz w:val="24"/>
                <w:szCs w:val="28"/>
              </w:rPr>
              <w:t xml:space="preserve"> („Sie sprechen von ... Darunter verstehen wir aber...</w:t>
            </w:r>
            <w:proofErr w:type="gramStart"/>
            <w:r w:rsidRPr="00C70C80">
              <w:rPr>
                <w:rFonts w:ascii="Arial" w:hAnsi="Arial"/>
                <w:sz w:val="24"/>
                <w:szCs w:val="28"/>
              </w:rPr>
              <w:t>“ )</w:t>
            </w:r>
            <w:proofErr w:type="gramEnd"/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Umdrehen</w:t>
            </w:r>
            <w:r w:rsidRPr="00C70C80">
              <w:rPr>
                <w:rFonts w:ascii="Arial" w:hAnsi="Arial"/>
                <w:sz w:val="24"/>
                <w:szCs w:val="28"/>
              </w:rPr>
              <w:t xml:space="preserve"> („Sie sagen, die Mathematikarbeiten bei mir fielen immer schlecht aus. Im Gegenteil …“)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Kritische Eltern erkennen, dass sie mit „Hauruck-Einwänden“ keinen Erfolg haben. Das kann alternative Konfliktformen hervorrufen (z. B. anschreien, heftig gestikulieren).</w:t>
            </w:r>
          </w:p>
        </w:tc>
      </w:tr>
      <w:tr w:rsidR="00C70C80" w:rsidRPr="00C70C80" w:rsidTr="00C70C80">
        <w:trPr>
          <w:trHeight w:val="977"/>
          <w:jc w:val="center"/>
        </w:trPr>
        <w:tc>
          <w:tcPr>
            <w:tcW w:w="5333" w:type="dxa"/>
            <w:shd w:val="clear" w:color="auto" w:fill="EBC791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3. Die Situation eskaliert – setzen Sie diese Stoppzeichen</w:t>
            </w:r>
          </w:p>
        </w:tc>
        <w:tc>
          <w:tcPr>
            <w:tcW w:w="5090" w:type="dxa"/>
            <w:shd w:val="clear" w:color="auto" w:fill="EBC791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Schnittstelle: Eltern bauen jetzt erhöhte Asymmetrie auf durch verbale und physische Gewalt</w:t>
            </w:r>
          </w:p>
        </w:tc>
      </w:tr>
      <w:tr w:rsidR="00C70C80" w:rsidRPr="00C70C80" w:rsidTr="00C70C80">
        <w:trPr>
          <w:trHeight w:val="449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Für Ihre innere Balance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</w:p>
        </w:tc>
      </w:tr>
      <w:tr w:rsidR="00C70C80" w:rsidRPr="00C70C80" w:rsidTr="00C70C80">
        <w:trPr>
          <w:trHeight w:val="1458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Atmen Sie langsam tief ein und aus.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Trinken Sie Wasser.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Bleiben Sie souverän und lassen Sie sich nicht in den Aggressionssog ziehen.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Eltern brüll</w:t>
            </w:r>
            <w:r w:rsidRPr="00C70C80">
              <w:rPr>
                <w:rFonts w:ascii="Arial" w:hAnsi="Arial"/>
                <w:bCs w:val="0"/>
                <w:sz w:val="24"/>
                <w:szCs w:val="28"/>
              </w:rPr>
              <w:t>en, drohen, werden beleidigend</w:t>
            </w:r>
            <w:r w:rsidRPr="00C70C80">
              <w:rPr>
                <w:rFonts w:ascii="Arial" w:hAnsi="Arial"/>
                <w:sz w:val="24"/>
                <w:szCs w:val="28"/>
              </w:rPr>
              <w:t xml:space="preserve"> oder werden übergriffig.</w:t>
            </w:r>
          </w:p>
        </w:tc>
      </w:tr>
      <w:tr w:rsidR="00C70C80" w:rsidRPr="00C70C80" w:rsidTr="00C70C80">
        <w:trPr>
          <w:trHeight w:val="449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  <w:r w:rsidRPr="00C70C80">
              <w:rPr>
                <w:rFonts w:ascii="Arial" w:hAnsi="Arial"/>
                <w:b/>
                <w:sz w:val="24"/>
                <w:szCs w:val="28"/>
              </w:rPr>
              <w:t>Für die Gesprächsführung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spacing w:before="120" w:after="120"/>
              <w:ind w:left="-61"/>
              <w:rPr>
                <w:rFonts w:ascii="Arial" w:hAnsi="Arial"/>
                <w:b/>
                <w:sz w:val="24"/>
                <w:szCs w:val="28"/>
              </w:rPr>
            </w:pPr>
          </w:p>
        </w:tc>
      </w:tr>
      <w:tr w:rsidR="00C70C80" w:rsidRPr="00C70C80" w:rsidTr="00C70C80">
        <w:trPr>
          <w:trHeight w:val="2792"/>
          <w:jc w:val="center"/>
        </w:trPr>
        <w:tc>
          <w:tcPr>
            <w:tcW w:w="5333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Brechen Sie das Gespräch ab.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Bieten Sie eine Fortsetzung zu späterer Zeit an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Kündigen Sie an, Ihre Schulleitung zu informieren oder rechtliche Schritte einzuleiten.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Begleiten Sie die Eltern zur Tür hinaus.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Treten Sie für eine Fortbildung in „Kommunikationsstrategien” ein.</w:t>
            </w:r>
          </w:p>
        </w:tc>
        <w:tc>
          <w:tcPr>
            <w:tcW w:w="5090" w:type="dxa"/>
          </w:tcPr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Eltern können ihre Asymmetrie nicht ausspielen.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Sie fühlen sich überrumpelt.</w:t>
            </w:r>
          </w:p>
          <w:p w:rsidR="00C70C80" w:rsidRPr="00C70C80" w:rsidRDefault="00C70C80" w:rsidP="00C70C8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81" w:hanging="218"/>
              <w:rPr>
                <w:rFonts w:ascii="Arial" w:hAnsi="Arial"/>
                <w:sz w:val="24"/>
                <w:szCs w:val="28"/>
              </w:rPr>
            </w:pPr>
            <w:r w:rsidRPr="00C70C80">
              <w:rPr>
                <w:rFonts w:ascii="Arial" w:hAnsi="Arial"/>
                <w:sz w:val="24"/>
                <w:szCs w:val="28"/>
              </w:rPr>
              <w:t>Sie erkennen, dass ihr Aufbau von Asymmetrie nicht erfolgreich war.</w:t>
            </w:r>
          </w:p>
        </w:tc>
      </w:tr>
    </w:tbl>
    <w:p w:rsidR="00C70C80" w:rsidRDefault="00C70C80" w:rsidP="00581B4B"/>
    <w:sectPr w:rsidR="00C70C80" w:rsidSect="00C70C80">
      <w:headerReference w:type="default" r:id="rId7"/>
      <w:pgSz w:w="11906" w:h="16838" w:code="9"/>
      <w:pgMar w:top="-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F3" w:rsidRDefault="00092CF3" w:rsidP="002A5D13">
      <w:pPr>
        <w:spacing w:after="0" w:line="240" w:lineRule="auto"/>
      </w:pPr>
      <w:r>
        <w:separator/>
      </w:r>
    </w:p>
  </w:endnote>
  <w:endnote w:type="continuationSeparator" w:id="0">
    <w:p w:rsidR="00092CF3" w:rsidRDefault="00092CF3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F3" w:rsidRDefault="00092CF3" w:rsidP="002A5D13">
      <w:pPr>
        <w:spacing w:after="0" w:line="240" w:lineRule="auto"/>
      </w:pPr>
      <w:r>
        <w:separator/>
      </w:r>
    </w:p>
  </w:footnote>
  <w:footnote w:type="continuationSeparator" w:id="0">
    <w:p w:rsidR="00092CF3" w:rsidRDefault="00092CF3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:rsidTr="00C70C80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C70C8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95A"/>
    <w:multiLevelType w:val="hybridMultilevel"/>
    <w:tmpl w:val="4588CED8"/>
    <w:lvl w:ilvl="0" w:tplc="0407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9BC7AD1"/>
    <w:multiLevelType w:val="hybridMultilevel"/>
    <w:tmpl w:val="CD20D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2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8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F"/>
    <w:rsid w:val="00012C7D"/>
    <w:rsid w:val="00022C51"/>
    <w:rsid w:val="00032A0C"/>
    <w:rsid w:val="00092CF3"/>
    <w:rsid w:val="00095CFC"/>
    <w:rsid w:val="000A7188"/>
    <w:rsid w:val="000B50CC"/>
    <w:rsid w:val="000C53E7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84BAC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591F3D"/>
    <w:rsid w:val="00614D0A"/>
    <w:rsid w:val="00653E72"/>
    <w:rsid w:val="00661981"/>
    <w:rsid w:val="006A179E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D651E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0C80"/>
    <w:rsid w:val="00C73E1A"/>
    <w:rsid w:val="00C9289F"/>
    <w:rsid w:val="00CC38C8"/>
    <w:rsid w:val="00D20069"/>
    <w:rsid w:val="00D56265"/>
    <w:rsid w:val="00D9199A"/>
    <w:rsid w:val="00DB32C7"/>
    <w:rsid w:val="00E028D9"/>
    <w:rsid w:val="00E2265E"/>
    <w:rsid w:val="00E32DE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591F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aSGHKastenHead">
    <w:name w:val="7a_SGH_Kasten_Head"/>
    <w:basedOn w:val="Standard"/>
    <w:qFormat/>
    <w:rsid w:val="00C70C80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C70C80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C70C80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C70C80"/>
    <w:pPr>
      <w:numPr>
        <w:numId w:val="24"/>
      </w:numPr>
    </w:pPr>
  </w:style>
  <w:style w:type="paragraph" w:customStyle="1" w:styleId="7eSGHKasten-Linkzeile">
    <w:name w:val="7e_SGH_Kasten-Linkzeile"/>
    <w:basedOn w:val="Standard"/>
    <w:qFormat/>
    <w:rsid w:val="00C70C80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2019-11-04T14:57:00Z</dcterms:created>
  <dcterms:modified xsi:type="dcterms:W3CDTF">2019-11-04T14:57:00Z</dcterms:modified>
</cp:coreProperties>
</file>