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7A7CA7" w:rsidRDefault="006E18EF" w:rsidP="006E18EF">
      <w:pPr>
        <w:tabs>
          <w:tab w:val="left" w:pos="2430"/>
        </w:tabs>
      </w:pPr>
      <w:r>
        <w:tab/>
      </w:r>
    </w:p>
    <w:p w:rsidR="00A41CE0" w:rsidRPr="00A41CE0" w:rsidRDefault="00A41CE0" w:rsidP="00A41CE0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631" w:type="dxa"/>
        <w:jc w:val="center"/>
        <w:tblLook w:val="04A0" w:firstRow="1" w:lastRow="0" w:firstColumn="1" w:lastColumn="0" w:noHBand="0" w:noVBand="1"/>
      </w:tblPr>
      <w:tblGrid>
        <w:gridCol w:w="9631"/>
      </w:tblGrid>
      <w:tr w:rsidR="00A41CE0" w:rsidRPr="00A41CE0" w:rsidTr="00337020">
        <w:trPr>
          <w:trHeight w:val="307"/>
          <w:jc w:val="center"/>
        </w:trPr>
        <w:tc>
          <w:tcPr>
            <w:tcW w:w="9631" w:type="dxa"/>
            <w:shd w:val="clear" w:color="auto" w:fill="6D92B3"/>
          </w:tcPr>
          <w:p w:rsidR="00A41CE0" w:rsidRPr="00A41CE0" w:rsidRDefault="00337020" w:rsidP="00A41CE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337020">
              <w:rPr>
                <w:rFonts w:ascii="Arial" w:hAnsi="Arial" w:cs="Arial"/>
                <w:b/>
                <w:sz w:val="28"/>
                <w:szCs w:val="28"/>
              </w:rPr>
              <w:t>Übersicht</w:t>
            </w:r>
            <w:r w:rsidRPr="00337020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sz w:val="28"/>
                <w:szCs w:val="28"/>
              </w:rPr>
              <w:t>Regeln für Handys im Unterricht</w:t>
            </w:r>
            <w:bookmarkEnd w:id="0"/>
          </w:p>
        </w:tc>
      </w:tr>
      <w:tr w:rsidR="00337020" w:rsidRPr="00337020" w:rsidTr="00337020">
        <w:trPr>
          <w:trHeight w:val="307"/>
          <w:jc w:val="center"/>
        </w:trPr>
        <w:tc>
          <w:tcPr>
            <w:tcW w:w="9631" w:type="dxa"/>
            <w:shd w:val="clear" w:color="auto" w:fill="EBC791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337020">
              <w:rPr>
                <w:rFonts w:ascii="Arial" w:hAnsi="Arial" w:cs="Arial"/>
                <w:b/>
                <w:sz w:val="24"/>
              </w:rPr>
              <w:t>1. Regel: Es gil</w:t>
            </w:r>
            <w:r w:rsidRPr="00337020">
              <w:rPr>
                <w:rFonts w:ascii="Arial" w:hAnsi="Arial" w:cs="Arial"/>
                <w:b/>
                <w:sz w:val="24"/>
              </w:rPr>
              <w:t>t ein Handyverbot im Unterricht</w:t>
            </w:r>
          </w:p>
        </w:tc>
      </w:tr>
      <w:tr w:rsidR="00337020" w:rsidRPr="00A41CE0" w:rsidTr="00337020">
        <w:trPr>
          <w:trHeight w:val="307"/>
          <w:jc w:val="center"/>
        </w:trPr>
        <w:tc>
          <w:tcPr>
            <w:tcW w:w="9631" w:type="dxa"/>
            <w:shd w:val="clear" w:color="auto" w:fill="auto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37020">
              <w:rPr>
                <w:rFonts w:ascii="Arial" w:hAnsi="Arial" w:cs="Arial"/>
                <w:sz w:val="24"/>
              </w:rPr>
              <w:t>Machen Sie den Eltern deutlich, dass die Benutzung von Handys während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des Unterrichts grundsätzlich untersagt ist. Sollten Sie eine entsprechende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Regelung nicht in Ihrer Schulordnung haben oder hierzu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auch nicht über einen Beschluss Ihrer Schulkonferenz verfügen, holen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Sie dies zügig nach. Vorübergehend genügt es, dass Sie als Schulleiter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eine</w:t>
            </w:r>
            <w:r>
              <w:rPr>
                <w:rFonts w:ascii="Arial" w:hAnsi="Arial" w:cs="Arial"/>
                <w:sz w:val="24"/>
              </w:rPr>
              <w:t xml:space="preserve"> entsprechende Anweisung geben.</w:t>
            </w:r>
          </w:p>
        </w:tc>
      </w:tr>
      <w:tr w:rsidR="00337020" w:rsidRPr="00337020" w:rsidTr="00337020">
        <w:trPr>
          <w:trHeight w:val="307"/>
          <w:jc w:val="center"/>
        </w:trPr>
        <w:tc>
          <w:tcPr>
            <w:tcW w:w="9631" w:type="dxa"/>
            <w:shd w:val="clear" w:color="auto" w:fill="EBC791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337020">
              <w:rPr>
                <w:rFonts w:ascii="Arial" w:hAnsi="Arial" w:cs="Arial"/>
                <w:b/>
                <w:sz w:val="24"/>
              </w:rPr>
              <w:t>2. Regel: Keine Audio- oder V</w:t>
            </w:r>
            <w:r w:rsidRPr="00337020">
              <w:rPr>
                <w:rFonts w:ascii="Arial" w:hAnsi="Arial" w:cs="Arial"/>
                <w:b/>
                <w:sz w:val="24"/>
              </w:rPr>
              <w:t>ideomitschnitte vom Unterricht!</w:t>
            </w:r>
          </w:p>
        </w:tc>
      </w:tr>
      <w:tr w:rsidR="00337020" w:rsidRPr="00A41CE0" w:rsidTr="00337020">
        <w:trPr>
          <w:trHeight w:val="307"/>
          <w:jc w:val="center"/>
        </w:trPr>
        <w:tc>
          <w:tcPr>
            <w:tcW w:w="9631" w:type="dxa"/>
            <w:shd w:val="clear" w:color="auto" w:fill="auto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37020">
              <w:rPr>
                <w:rFonts w:ascii="Arial" w:hAnsi="Arial" w:cs="Arial"/>
                <w:sz w:val="24"/>
              </w:rPr>
              <w:t>Erläutern Sie den Eltern, dass bereits aus datenschutzrechtlichen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Gründen der Mitschnitt von ganzen Unterrichtsstunden oder auch nur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Unterrichtseinheiten, sei es als Audio- oder als Videodatei, untersagt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ist. Ohne Kenntnis von solchen Mitschnitten und ohne Einverständniserklärung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aller Beteiligten liegt auch ein Verstoß gegen das allgemeine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Persönlichkeitsrecht sowie das Recht a</w:t>
            </w:r>
            <w:r>
              <w:rPr>
                <w:rFonts w:ascii="Arial" w:hAnsi="Arial" w:cs="Arial"/>
                <w:sz w:val="24"/>
              </w:rPr>
              <w:t xml:space="preserve">m eigenen Bild vor. Zudem macht </w:t>
            </w:r>
            <w:r w:rsidRPr="00337020">
              <w:rPr>
                <w:rFonts w:ascii="Arial" w:hAnsi="Arial" w:cs="Arial"/>
                <w:sz w:val="24"/>
              </w:rPr>
              <w:t>sich der Betroffene strafbar nach § 201 StGB. Weisen Sie darauf hin, dass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ein Verstoß zu empfindlichen Sanktionen bis hin zu 3 Jahren Freiheitsstrafe</w:t>
            </w:r>
            <w:r>
              <w:rPr>
                <w:rFonts w:ascii="Arial" w:hAnsi="Arial" w:cs="Arial"/>
                <w:sz w:val="24"/>
              </w:rPr>
              <w:t xml:space="preserve"> führen kann.</w:t>
            </w:r>
          </w:p>
        </w:tc>
      </w:tr>
      <w:tr w:rsidR="00337020" w:rsidRPr="00337020" w:rsidTr="00337020">
        <w:trPr>
          <w:trHeight w:val="307"/>
          <w:jc w:val="center"/>
        </w:trPr>
        <w:tc>
          <w:tcPr>
            <w:tcW w:w="9631" w:type="dxa"/>
            <w:shd w:val="clear" w:color="auto" w:fill="EBC791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337020">
              <w:rPr>
                <w:rFonts w:ascii="Arial" w:hAnsi="Arial" w:cs="Arial"/>
                <w:b/>
                <w:sz w:val="24"/>
              </w:rPr>
              <w:t>3. Regel: Es gilt die päda</w:t>
            </w:r>
            <w:r w:rsidRPr="00337020">
              <w:rPr>
                <w:rFonts w:ascii="Arial" w:hAnsi="Arial" w:cs="Arial"/>
                <w:b/>
                <w:sz w:val="24"/>
              </w:rPr>
              <w:t>gogische Freiheit der Lehrkraft</w:t>
            </w:r>
          </w:p>
        </w:tc>
      </w:tr>
      <w:tr w:rsidR="00337020" w:rsidRPr="00A41CE0" w:rsidTr="00337020">
        <w:trPr>
          <w:trHeight w:val="307"/>
          <w:jc w:val="center"/>
        </w:trPr>
        <w:tc>
          <w:tcPr>
            <w:tcW w:w="9631" w:type="dxa"/>
            <w:shd w:val="clear" w:color="auto" w:fill="auto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37020">
              <w:rPr>
                <w:rFonts w:ascii="Arial" w:hAnsi="Arial" w:cs="Arial"/>
                <w:sz w:val="24"/>
              </w:rPr>
              <w:t>Wie sich der Unterricht im Einzelnen gestaltet, entscheidet die Lehrkraft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völlig eigenständig. Die pädagogische Freiheit der Lehrkräfte ist auch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inhaltlich nicht überprüfbar. Gerichte können deshalb nicht klären, ob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eine Lehrkraft richtig handelt, wenn ein Schüler häufiger oder weniger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häufig von einer Lehrkraft beteiligt wird. Gerichtlich nachprüfbar ist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allenfalls, ob im Rahmen einer Ermessensentscheidung z. B. die Notengebung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fehlerfrei war. Unterrichtsgestaltung ist und bleibt originäres</w:t>
            </w:r>
            <w:r>
              <w:rPr>
                <w:rFonts w:ascii="Arial" w:hAnsi="Arial" w:cs="Arial"/>
                <w:sz w:val="24"/>
              </w:rPr>
              <w:t xml:space="preserve"> Recht der Lehrkraft.</w:t>
            </w:r>
          </w:p>
        </w:tc>
      </w:tr>
      <w:tr w:rsidR="00337020" w:rsidRPr="00337020" w:rsidTr="00337020">
        <w:trPr>
          <w:trHeight w:val="307"/>
          <w:jc w:val="center"/>
        </w:trPr>
        <w:tc>
          <w:tcPr>
            <w:tcW w:w="9631" w:type="dxa"/>
            <w:shd w:val="clear" w:color="auto" w:fill="EBC791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337020">
              <w:rPr>
                <w:rFonts w:ascii="Arial" w:hAnsi="Arial" w:cs="Arial"/>
                <w:b/>
                <w:sz w:val="24"/>
              </w:rPr>
              <w:t>4. Regel: Noten b</w:t>
            </w:r>
            <w:r w:rsidRPr="00337020">
              <w:rPr>
                <w:rFonts w:ascii="Arial" w:hAnsi="Arial" w:cs="Arial"/>
                <w:b/>
                <w:sz w:val="24"/>
              </w:rPr>
              <w:t>asieren auf Leistungsnachweisen</w:t>
            </w:r>
          </w:p>
        </w:tc>
      </w:tr>
      <w:tr w:rsidR="00337020" w:rsidRPr="00A41CE0" w:rsidTr="00337020">
        <w:trPr>
          <w:trHeight w:val="307"/>
          <w:jc w:val="center"/>
        </w:trPr>
        <w:tc>
          <w:tcPr>
            <w:tcW w:w="9631" w:type="dxa"/>
            <w:shd w:val="clear" w:color="auto" w:fill="auto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37020">
              <w:rPr>
                <w:rFonts w:ascii="Arial" w:hAnsi="Arial" w:cs="Arial"/>
                <w:sz w:val="24"/>
              </w:rPr>
              <w:t>Machen Sie den Eltern klar, dass Schulnoten anhand von schriftlichen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und mündlichen Leistungen der Schüler zu bilden sind. Einen Spielraum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für Verhandlungen zwischen Eltern und Lehrkräften gibt es nicht. Ihre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Lehrkräfte sind gehalten, das ihnen zustehende Ermessen richtig auszuüben.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Machen Sie Helikopt</w:t>
            </w:r>
            <w:r>
              <w:rPr>
                <w:rFonts w:ascii="Arial" w:hAnsi="Arial" w:cs="Arial"/>
                <w:sz w:val="24"/>
              </w:rPr>
              <w:t>ereltern dies klar.</w:t>
            </w:r>
          </w:p>
        </w:tc>
      </w:tr>
      <w:tr w:rsidR="00337020" w:rsidRPr="00337020" w:rsidTr="00337020">
        <w:trPr>
          <w:trHeight w:val="307"/>
          <w:jc w:val="center"/>
        </w:trPr>
        <w:tc>
          <w:tcPr>
            <w:tcW w:w="9631" w:type="dxa"/>
            <w:shd w:val="clear" w:color="auto" w:fill="EBC791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337020">
              <w:rPr>
                <w:rFonts w:ascii="Arial" w:hAnsi="Arial" w:cs="Arial"/>
                <w:b/>
                <w:sz w:val="24"/>
              </w:rPr>
              <w:t>5. Regel: Elte</w:t>
            </w:r>
            <w:r w:rsidRPr="00337020">
              <w:rPr>
                <w:rFonts w:ascii="Arial" w:hAnsi="Arial" w:cs="Arial"/>
                <w:b/>
                <w:sz w:val="24"/>
              </w:rPr>
              <w:t>rn können Gespräche vereinbaren</w:t>
            </w:r>
          </w:p>
        </w:tc>
      </w:tr>
      <w:tr w:rsidR="00337020" w:rsidRPr="00A41CE0" w:rsidTr="00337020">
        <w:trPr>
          <w:trHeight w:val="307"/>
          <w:jc w:val="center"/>
        </w:trPr>
        <w:tc>
          <w:tcPr>
            <w:tcW w:w="9631" w:type="dxa"/>
            <w:shd w:val="clear" w:color="auto" w:fill="auto"/>
          </w:tcPr>
          <w:p w:rsidR="00337020" w:rsidRPr="00337020" w:rsidRDefault="00337020" w:rsidP="0033702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337020">
              <w:rPr>
                <w:rFonts w:ascii="Arial" w:hAnsi="Arial" w:cs="Arial"/>
                <w:sz w:val="24"/>
              </w:rPr>
              <w:t>Wenn Eltern etwas am Unterricht o</w:t>
            </w:r>
            <w:r>
              <w:rPr>
                <w:rFonts w:ascii="Arial" w:hAnsi="Arial" w:cs="Arial"/>
                <w:sz w:val="24"/>
              </w:rPr>
              <w:t xml:space="preserve">der an der Benotung auszusetzen </w:t>
            </w:r>
            <w:r w:rsidRPr="00337020">
              <w:rPr>
                <w:rFonts w:ascii="Arial" w:hAnsi="Arial" w:cs="Arial"/>
                <w:sz w:val="24"/>
              </w:rPr>
              <w:t>haben, können sie jederzeit außerhalb von turnusmäßigen Elternsprechtagen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auch individuelle Gesprächstermine vereinbaren. In diesen kann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37020">
              <w:rPr>
                <w:rFonts w:ascii="Arial" w:hAnsi="Arial" w:cs="Arial"/>
                <w:sz w:val="24"/>
              </w:rPr>
              <w:t>dann z. B. über den Leistungsstand des Schülers gesprochen werden.</w:t>
            </w:r>
          </w:p>
        </w:tc>
      </w:tr>
    </w:tbl>
    <w:p w:rsidR="00A41CE0" w:rsidRDefault="00A41CE0" w:rsidP="004E1515"/>
    <w:p w:rsidR="00337020" w:rsidRPr="00337020" w:rsidRDefault="00337020" w:rsidP="0033702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337020" w:rsidRPr="00337020" w:rsidSect="00A41CE0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B8" w:rsidRDefault="008616B8" w:rsidP="002A5D13">
      <w:pPr>
        <w:spacing w:after="0" w:line="240" w:lineRule="auto"/>
      </w:pPr>
      <w:r>
        <w:separator/>
      </w:r>
    </w:p>
  </w:endnote>
  <w:end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B8" w:rsidRDefault="008616B8" w:rsidP="002A5D13">
      <w:pPr>
        <w:spacing w:after="0" w:line="240" w:lineRule="auto"/>
      </w:pPr>
      <w:r>
        <w:separator/>
      </w:r>
    </w:p>
  </w:footnote>
  <w:foot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50"/>
    </w:tblGrid>
    <w:tr w:rsidR="00095CFC" w:rsidTr="00012C7D">
      <w:tc>
        <w:tcPr>
          <w:tcW w:w="1500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AD651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00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0C7F87"/>
    <w:multiLevelType w:val="hybridMultilevel"/>
    <w:tmpl w:val="43906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08FA"/>
    <w:multiLevelType w:val="hybridMultilevel"/>
    <w:tmpl w:val="F758AF3A"/>
    <w:lvl w:ilvl="0" w:tplc="784424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65BB"/>
    <w:multiLevelType w:val="hybridMultilevel"/>
    <w:tmpl w:val="132611F0"/>
    <w:lvl w:ilvl="0" w:tplc="784424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81FAE"/>
    <w:multiLevelType w:val="hybridMultilevel"/>
    <w:tmpl w:val="A1F272A0"/>
    <w:lvl w:ilvl="0" w:tplc="784424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24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37020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4E1515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41CE0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E15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2019-08-29T19:28:00Z</dcterms:created>
  <dcterms:modified xsi:type="dcterms:W3CDTF">2019-08-29T19:28:00Z</dcterms:modified>
</cp:coreProperties>
</file>