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4610BE01" w14:textId="0B560262" w:rsidR="00742C22" w:rsidRDefault="00742C22" w:rsidP="000F0529">
      <w:pPr>
        <w:spacing w:before="120" w:after="120"/>
        <w:rPr>
          <w:rFonts w:ascii="Arial" w:hAnsi="Arial" w:cs="Arial"/>
          <w:bCs/>
          <w:sz w:val="24"/>
          <w:szCs w:val="24"/>
        </w:rPr>
      </w:pPr>
    </w:p>
    <w:tbl>
      <w:tblPr>
        <w:tblStyle w:val="Tabellenraster"/>
        <w:tblW w:w="10627" w:type="dxa"/>
        <w:jc w:val="center"/>
        <w:tblCellMar>
          <w:left w:w="198" w:type="dxa"/>
          <w:right w:w="198" w:type="dxa"/>
        </w:tblCellMar>
        <w:tblLook w:val="04A0" w:firstRow="1" w:lastRow="0" w:firstColumn="1" w:lastColumn="0" w:noHBand="0" w:noVBand="1"/>
      </w:tblPr>
      <w:tblGrid>
        <w:gridCol w:w="2404"/>
        <w:gridCol w:w="2450"/>
        <w:gridCol w:w="5773"/>
      </w:tblGrid>
      <w:tr w:rsidR="00742C22" w:rsidRPr="00742C22" w14:paraId="285C006D" w14:textId="77777777" w:rsidTr="00A33E64">
        <w:trPr>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6D92B3"/>
            <w:hideMark/>
          </w:tcPr>
          <w:p w14:paraId="6BB8B747" w14:textId="77777777" w:rsidR="00742C22" w:rsidRPr="00742C22" w:rsidRDefault="00742C22" w:rsidP="00A33E64">
            <w:pPr>
              <w:spacing w:before="120" w:after="120"/>
              <w:ind w:left="-62"/>
              <w:rPr>
                <w:rFonts w:ascii="Arial" w:hAnsi="Arial" w:cs="Arial"/>
                <w:b/>
                <w:sz w:val="28"/>
                <w:szCs w:val="28"/>
              </w:rPr>
            </w:pPr>
            <w:r w:rsidRPr="00742C22">
              <w:rPr>
                <w:rFonts w:ascii="Arial" w:hAnsi="Arial" w:cs="Arial"/>
                <w:b/>
                <w:sz w:val="28"/>
                <w:szCs w:val="28"/>
              </w:rPr>
              <w:t>Techniken der Selbstführung durch Resilienz-Stärkung</w:t>
            </w:r>
          </w:p>
        </w:tc>
      </w:tr>
      <w:tr w:rsidR="00742C22" w:rsidRPr="00742C22" w14:paraId="5E5D0746" w14:textId="77777777" w:rsidTr="00A33E64">
        <w:trPr>
          <w:jc w:val="center"/>
        </w:trPr>
        <w:tc>
          <w:tcPr>
            <w:tcW w:w="2404" w:type="dxa"/>
            <w:tcBorders>
              <w:top w:val="single" w:sz="4" w:space="0" w:color="auto"/>
              <w:left w:val="single" w:sz="4" w:space="0" w:color="auto"/>
              <w:bottom w:val="single" w:sz="4" w:space="0" w:color="auto"/>
              <w:right w:val="single" w:sz="4" w:space="0" w:color="auto"/>
            </w:tcBorders>
            <w:shd w:val="clear" w:color="auto" w:fill="EBC791"/>
          </w:tcPr>
          <w:p w14:paraId="6C892325" w14:textId="77777777" w:rsidR="00742C22" w:rsidRPr="00742C22" w:rsidRDefault="00742C22" w:rsidP="00A33E64">
            <w:pPr>
              <w:spacing w:before="120" w:after="120"/>
              <w:ind w:left="-62"/>
              <w:rPr>
                <w:rFonts w:ascii="Arial" w:hAnsi="Arial" w:cs="Arial"/>
                <w:b/>
                <w:sz w:val="24"/>
                <w:szCs w:val="24"/>
              </w:rPr>
            </w:pPr>
            <w:proofErr w:type="spellStart"/>
            <w:r w:rsidRPr="00742C22">
              <w:rPr>
                <w:rFonts w:ascii="Arial" w:hAnsi="Arial" w:cs="Arial"/>
                <w:b/>
                <w:sz w:val="24"/>
                <w:szCs w:val="24"/>
              </w:rPr>
              <w:t>Resilienzstufen</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EBC791"/>
            <w:hideMark/>
          </w:tcPr>
          <w:p w14:paraId="64164291" w14:textId="77777777" w:rsidR="00742C22" w:rsidRPr="00742C22" w:rsidRDefault="00742C22" w:rsidP="00A33E64">
            <w:pPr>
              <w:spacing w:before="120" w:after="120"/>
              <w:ind w:left="-62"/>
              <w:rPr>
                <w:rFonts w:ascii="Arial" w:hAnsi="Arial" w:cs="Arial"/>
                <w:b/>
                <w:sz w:val="24"/>
                <w:szCs w:val="24"/>
              </w:rPr>
            </w:pPr>
            <w:r w:rsidRPr="00742C22">
              <w:rPr>
                <w:rFonts w:ascii="Arial" w:hAnsi="Arial" w:cs="Arial"/>
                <w:b/>
                <w:sz w:val="24"/>
                <w:szCs w:val="24"/>
              </w:rPr>
              <w:t xml:space="preserve">Techniken zur </w:t>
            </w:r>
            <w:r w:rsidRPr="00742C22">
              <w:rPr>
                <w:rFonts w:ascii="Arial" w:hAnsi="Arial" w:cs="Arial"/>
                <w:b/>
                <w:sz w:val="24"/>
                <w:szCs w:val="24"/>
              </w:rPr>
              <w:br/>
            </w:r>
            <w:proofErr w:type="spellStart"/>
            <w:r w:rsidRPr="00742C22">
              <w:rPr>
                <w:rFonts w:ascii="Arial" w:hAnsi="Arial" w:cs="Arial"/>
                <w:b/>
                <w:sz w:val="24"/>
                <w:szCs w:val="24"/>
              </w:rPr>
              <w:t>Resilienzstärkung</w:t>
            </w:r>
            <w:proofErr w:type="spellEnd"/>
            <w:r w:rsidRPr="00742C22">
              <w:rPr>
                <w:rFonts w:ascii="Arial" w:hAnsi="Arial" w:cs="Arial"/>
                <w:b/>
                <w:sz w:val="24"/>
                <w:szCs w:val="24"/>
              </w:rPr>
              <w:t xml:space="preserve"> </w:t>
            </w:r>
            <w:r w:rsidRPr="00742C22">
              <w:rPr>
                <w:rFonts w:ascii="Arial" w:hAnsi="Arial" w:cs="Arial"/>
                <w:b/>
                <w:sz w:val="24"/>
                <w:szCs w:val="24"/>
              </w:rPr>
              <w:br/>
              <w:t>im Schulalltag</w:t>
            </w:r>
          </w:p>
        </w:tc>
        <w:tc>
          <w:tcPr>
            <w:tcW w:w="5773" w:type="dxa"/>
            <w:tcBorders>
              <w:top w:val="single" w:sz="4" w:space="0" w:color="auto"/>
              <w:left w:val="single" w:sz="4" w:space="0" w:color="auto"/>
              <w:bottom w:val="single" w:sz="4" w:space="0" w:color="auto"/>
              <w:right w:val="single" w:sz="4" w:space="0" w:color="auto"/>
            </w:tcBorders>
            <w:shd w:val="clear" w:color="auto" w:fill="EBC791"/>
            <w:hideMark/>
          </w:tcPr>
          <w:p w14:paraId="4504A5E4" w14:textId="77777777" w:rsidR="00742C22" w:rsidRPr="00742C22" w:rsidRDefault="00742C22" w:rsidP="00A33E64">
            <w:pPr>
              <w:spacing w:before="120" w:after="120"/>
              <w:ind w:left="-62"/>
              <w:rPr>
                <w:rFonts w:ascii="Arial" w:hAnsi="Arial" w:cs="Arial"/>
                <w:b/>
                <w:sz w:val="24"/>
                <w:szCs w:val="24"/>
              </w:rPr>
            </w:pPr>
            <w:r w:rsidRPr="00742C22">
              <w:rPr>
                <w:rFonts w:ascii="Arial" w:hAnsi="Arial" w:cs="Arial"/>
                <w:b/>
                <w:sz w:val="24"/>
                <w:szCs w:val="24"/>
              </w:rPr>
              <w:t>Wie diese Maßnahmen Ihre Selbstführung unterstützen</w:t>
            </w:r>
          </w:p>
        </w:tc>
      </w:tr>
      <w:tr w:rsidR="00742C22" w:rsidRPr="00742C22" w14:paraId="58EE6353" w14:textId="77777777" w:rsidTr="00A33E64">
        <w:trPr>
          <w:trHeight w:val="847"/>
          <w:jc w:val="center"/>
        </w:trPr>
        <w:tc>
          <w:tcPr>
            <w:tcW w:w="2404" w:type="dxa"/>
            <w:tcBorders>
              <w:top w:val="single" w:sz="4" w:space="0" w:color="auto"/>
              <w:left w:val="single" w:sz="4" w:space="0" w:color="auto"/>
              <w:bottom w:val="single" w:sz="4" w:space="0" w:color="auto"/>
              <w:right w:val="single" w:sz="4" w:space="0" w:color="auto"/>
            </w:tcBorders>
            <w:hideMark/>
          </w:tcPr>
          <w:p w14:paraId="31ECF467" w14:textId="77777777" w:rsidR="00742C22" w:rsidRPr="00742C22" w:rsidRDefault="00742C22" w:rsidP="00742C22">
            <w:pPr>
              <w:pStyle w:val="Listenabsatz"/>
              <w:numPr>
                <w:ilvl w:val="0"/>
                <w:numId w:val="30"/>
              </w:numPr>
              <w:spacing w:before="120" w:after="120"/>
              <w:ind w:left="80" w:hanging="218"/>
              <w:rPr>
                <w:rFonts w:ascii="Arial" w:hAnsi="Arial" w:cs="Arial"/>
                <w:sz w:val="24"/>
              </w:rPr>
            </w:pPr>
            <w:r w:rsidRPr="00742C22">
              <w:rPr>
                <w:rFonts w:ascii="Arial" w:hAnsi="Arial" w:cs="Arial"/>
                <w:sz w:val="24"/>
              </w:rPr>
              <w:t>Selbsterkenntnis</w:t>
            </w:r>
          </w:p>
        </w:tc>
        <w:tc>
          <w:tcPr>
            <w:tcW w:w="2450" w:type="dxa"/>
            <w:tcBorders>
              <w:top w:val="single" w:sz="4" w:space="0" w:color="auto"/>
              <w:left w:val="single" w:sz="4" w:space="0" w:color="auto"/>
              <w:bottom w:val="single" w:sz="4" w:space="0" w:color="auto"/>
              <w:right w:val="single" w:sz="4" w:space="0" w:color="auto"/>
            </w:tcBorders>
            <w:hideMark/>
          </w:tcPr>
          <w:p w14:paraId="6A68E370"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Orten Sie Stressauslöser und nehmen Sie ihnen die Spitze.</w:t>
            </w:r>
          </w:p>
        </w:tc>
        <w:tc>
          <w:tcPr>
            <w:tcW w:w="5773" w:type="dxa"/>
            <w:tcBorders>
              <w:top w:val="single" w:sz="4" w:space="0" w:color="auto"/>
              <w:left w:val="single" w:sz="4" w:space="0" w:color="auto"/>
              <w:bottom w:val="single" w:sz="4" w:space="0" w:color="auto"/>
              <w:right w:val="single" w:sz="4" w:space="0" w:color="auto"/>
            </w:tcBorders>
            <w:hideMark/>
          </w:tcPr>
          <w:p w14:paraId="54EA3F97"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Die ständige Hektik und Lautstärke im Sekretariat stören Sie bei wichtigen Gesprächen.</w:t>
            </w:r>
          </w:p>
          <w:p w14:paraId="39966005"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Sie passen Öffnungszeiten und Zugang so an, dass es für die Arbeit der Sekretärinnen und für Ihre eigene Arbeit passt. Sie können nun Ihre Gespräche in Ruhe durchführen. Das tut Ihrer Selbstführung gut, und Ihre Schulgemeinschaft registriert, dass Sie mit Führungskompetenz zugunsten des Arbeitsablaufs regulierend eingegriffen haben.</w:t>
            </w:r>
          </w:p>
        </w:tc>
      </w:tr>
      <w:tr w:rsidR="00742C22" w:rsidRPr="00742C22" w14:paraId="64A0136A" w14:textId="77777777" w:rsidTr="00A33E64">
        <w:trPr>
          <w:trHeight w:val="847"/>
          <w:jc w:val="center"/>
        </w:trPr>
        <w:tc>
          <w:tcPr>
            <w:tcW w:w="2404" w:type="dxa"/>
            <w:tcBorders>
              <w:top w:val="single" w:sz="4" w:space="0" w:color="auto"/>
              <w:left w:val="single" w:sz="4" w:space="0" w:color="auto"/>
              <w:bottom w:val="single" w:sz="4" w:space="0" w:color="auto"/>
              <w:right w:val="single" w:sz="4" w:space="0" w:color="auto"/>
            </w:tcBorders>
            <w:hideMark/>
          </w:tcPr>
          <w:p w14:paraId="4C655A3E" w14:textId="77777777" w:rsidR="00742C22" w:rsidRPr="00742C22" w:rsidRDefault="00742C22" w:rsidP="00742C22">
            <w:pPr>
              <w:pStyle w:val="Listenabsatz"/>
              <w:numPr>
                <w:ilvl w:val="0"/>
                <w:numId w:val="30"/>
              </w:numPr>
              <w:spacing w:before="120" w:after="120"/>
              <w:ind w:left="80" w:hanging="218"/>
              <w:rPr>
                <w:rFonts w:ascii="Arial" w:hAnsi="Arial" w:cs="Arial"/>
                <w:sz w:val="24"/>
              </w:rPr>
            </w:pPr>
            <w:r w:rsidRPr="00742C22">
              <w:rPr>
                <w:rFonts w:ascii="Arial" w:hAnsi="Arial" w:cs="Arial"/>
                <w:sz w:val="24"/>
              </w:rPr>
              <w:t>Selbstakzeptanz</w:t>
            </w:r>
          </w:p>
        </w:tc>
        <w:tc>
          <w:tcPr>
            <w:tcW w:w="2450" w:type="dxa"/>
            <w:tcBorders>
              <w:top w:val="single" w:sz="4" w:space="0" w:color="auto"/>
              <w:left w:val="single" w:sz="4" w:space="0" w:color="auto"/>
              <w:bottom w:val="single" w:sz="4" w:space="0" w:color="auto"/>
              <w:right w:val="single" w:sz="4" w:space="0" w:color="auto"/>
            </w:tcBorders>
            <w:hideMark/>
          </w:tcPr>
          <w:p w14:paraId="6743D65C"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Schulen Sie Ihre Achtsamkeit.</w:t>
            </w:r>
          </w:p>
        </w:tc>
        <w:tc>
          <w:tcPr>
            <w:tcW w:w="5773" w:type="dxa"/>
            <w:tcBorders>
              <w:top w:val="single" w:sz="4" w:space="0" w:color="auto"/>
              <w:left w:val="single" w:sz="4" w:space="0" w:color="auto"/>
              <w:bottom w:val="single" w:sz="4" w:space="0" w:color="auto"/>
              <w:right w:val="single" w:sz="4" w:space="0" w:color="auto"/>
            </w:tcBorders>
          </w:tcPr>
          <w:p w14:paraId="30837F75"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Der Blumenstrauß auf Ihrem Schreibtisch ist verwelkt.</w:t>
            </w:r>
          </w:p>
          <w:p w14:paraId="3FBD84E5"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Sie bringen am nächsten Tag frische Blumen für sich und Ihr Sekretariat mit. Die Blumen in Ihrem Büro tragen zu Ihrem Wohlbefinden und Ihrer Selbstführung bei. Ihre Blumen für das Sekretariat beweisen, dass Sie nicht nur gegen sich selbst, sondern auch gegenüber Ihrem Arbeitsumfeld achtsam sind.</w:t>
            </w:r>
          </w:p>
        </w:tc>
      </w:tr>
      <w:tr w:rsidR="00742C22" w:rsidRPr="00742C22" w14:paraId="4274E0B2" w14:textId="77777777" w:rsidTr="00A33E64">
        <w:trPr>
          <w:trHeight w:val="847"/>
          <w:jc w:val="center"/>
        </w:trPr>
        <w:tc>
          <w:tcPr>
            <w:tcW w:w="2404" w:type="dxa"/>
            <w:tcBorders>
              <w:top w:val="single" w:sz="4" w:space="0" w:color="auto"/>
              <w:left w:val="single" w:sz="4" w:space="0" w:color="auto"/>
              <w:bottom w:val="single" w:sz="4" w:space="0" w:color="auto"/>
              <w:right w:val="single" w:sz="4" w:space="0" w:color="auto"/>
            </w:tcBorders>
            <w:hideMark/>
          </w:tcPr>
          <w:p w14:paraId="6C15BB9F" w14:textId="77777777" w:rsidR="00742C22" w:rsidRPr="00742C22" w:rsidRDefault="00742C22" w:rsidP="00742C22">
            <w:pPr>
              <w:pStyle w:val="Listenabsatz"/>
              <w:numPr>
                <w:ilvl w:val="0"/>
                <w:numId w:val="30"/>
              </w:numPr>
              <w:spacing w:before="120" w:after="120"/>
              <w:ind w:left="80" w:hanging="218"/>
              <w:rPr>
                <w:rFonts w:ascii="Arial" w:hAnsi="Arial" w:cs="Arial"/>
                <w:sz w:val="24"/>
              </w:rPr>
            </w:pPr>
            <w:r w:rsidRPr="00742C22">
              <w:rPr>
                <w:rFonts w:ascii="Arial" w:hAnsi="Arial" w:cs="Arial"/>
                <w:sz w:val="24"/>
              </w:rPr>
              <w:t>Selbstvertrauen</w:t>
            </w:r>
          </w:p>
        </w:tc>
        <w:tc>
          <w:tcPr>
            <w:tcW w:w="2450" w:type="dxa"/>
            <w:tcBorders>
              <w:top w:val="single" w:sz="4" w:space="0" w:color="auto"/>
              <w:left w:val="single" w:sz="4" w:space="0" w:color="auto"/>
              <w:bottom w:val="single" w:sz="4" w:space="0" w:color="auto"/>
              <w:right w:val="single" w:sz="4" w:space="0" w:color="auto"/>
            </w:tcBorders>
          </w:tcPr>
          <w:p w14:paraId="18CBB51B"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Trauen Sie sich Herausforderungen zu und suchen Sie Unterstützer.</w:t>
            </w:r>
          </w:p>
        </w:tc>
        <w:tc>
          <w:tcPr>
            <w:tcW w:w="5773" w:type="dxa"/>
            <w:tcBorders>
              <w:top w:val="single" w:sz="4" w:space="0" w:color="auto"/>
              <w:left w:val="single" w:sz="4" w:space="0" w:color="auto"/>
              <w:bottom w:val="single" w:sz="4" w:space="0" w:color="auto"/>
              <w:right w:val="single" w:sz="4" w:space="0" w:color="auto"/>
            </w:tcBorders>
          </w:tcPr>
          <w:p w14:paraId="59EF877A"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Ihre Schulkonferenz hat die Einführung des Dalton-Konzepts beschlossen.</w:t>
            </w:r>
          </w:p>
          <w:p w14:paraId="552D35C6"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Tragen Sie diesen wichtigen Schritt zur Entwicklung Ihrer Schule aktiv mit. Lassen Sie erkennen, dass Sie die Umsetzung zur „Chefsache“ machen, und suchen Sie Unterstützung bei Schulaufsicht und Schulträger, aber auch in Ihrer Leitungsrunde und Steuergruppe. Die Annahme dieser Herausforderung ist ein willkommener Beweis Ihrer Selbstführung und wird von der Schulgemeinschaft als Ihr Leitungsprojekt wahrgenommen.</w:t>
            </w:r>
          </w:p>
        </w:tc>
      </w:tr>
      <w:tr w:rsidR="00742C22" w:rsidRPr="00742C22" w14:paraId="1E92D2C1" w14:textId="77777777" w:rsidTr="00A33E64">
        <w:trPr>
          <w:trHeight w:val="847"/>
          <w:jc w:val="center"/>
        </w:trPr>
        <w:tc>
          <w:tcPr>
            <w:tcW w:w="2404" w:type="dxa"/>
            <w:tcBorders>
              <w:top w:val="single" w:sz="4" w:space="0" w:color="auto"/>
              <w:left w:val="single" w:sz="4" w:space="0" w:color="auto"/>
              <w:bottom w:val="single" w:sz="4" w:space="0" w:color="auto"/>
              <w:right w:val="single" w:sz="4" w:space="0" w:color="auto"/>
            </w:tcBorders>
            <w:hideMark/>
          </w:tcPr>
          <w:p w14:paraId="18DCD87F" w14:textId="77777777" w:rsidR="00742C22" w:rsidRPr="00742C22" w:rsidRDefault="00742C22" w:rsidP="00742C22">
            <w:pPr>
              <w:pStyle w:val="Listenabsatz"/>
              <w:numPr>
                <w:ilvl w:val="0"/>
                <w:numId w:val="30"/>
              </w:numPr>
              <w:spacing w:before="120" w:after="120"/>
              <w:ind w:left="80" w:hanging="218"/>
              <w:rPr>
                <w:rFonts w:ascii="Arial" w:hAnsi="Arial" w:cs="Arial"/>
                <w:sz w:val="24"/>
              </w:rPr>
            </w:pPr>
            <w:r w:rsidRPr="00742C22">
              <w:rPr>
                <w:rFonts w:ascii="Arial" w:hAnsi="Arial" w:cs="Arial"/>
                <w:sz w:val="24"/>
              </w:rPr>
              <w:lastRenderedPageBreak/>
              <w:t>Selbstsicherheit</w:t>
            </w:r>
          </w:p>
        </w:tc>
        <w:tc>
          <w:tcPr>
            <w:tcW w:w="2450" w:type="dxa"/>
            <w:tcBorders>
              <w:top w:val="single" w:sz="4" w:space="0" w:color="auto"/>
              <w:left w:val="single" w:sz="4" w:space="0" w:color="auto"/>
              <w:bottom w:val="single" w:sz="4" w:space="0" w:color="auto"/>
              <w:right w:val="single" w:sz="4" w:space="0" w:color="auto"/>
            </w:tcBorders>
          </w:tcPr>
          <w:p w14:paraId="6B6A2CB7"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Üben Sie sich darin, mit Kritik angemessen umzugehen.</w:t>
            </w:r>
          </w:p>
        </w:tc>
        <w:tc>
          <w:tcPr>
            <w:tcW w:w="5773" w:type="dxa"/>
            <w:tcBorders>
              <w:top w:val="single" w:sz="4" w:space="0" w:color="auto"/>
              <w:left w:val="single" w:sz="4" w:space="0" w:color="auto"/>
              <w:bottom w:val="single" w:sz="4" w:space="0" w:color="auto"/>
              <w:right w:val="single" w:sz="4" w:space="0" w:color="auto"/>
            </w:tcBorders>
          </w:tcPr>
          <w:p w14:paraId="63426B9A"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Sie werden in der Lehrerkonferenz kritisiert, weil Sie aus Pandemie-Gründen vorübergehend den Schulkiosk geschlossen haben.</w:t>
            </w:r>
          </w:p>
          <w:p w14:paraId="0626EE5B"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Äußern Sie Verständnis für diesen Einwand und erklären Sie sachlich, warum Sie den Kiosk schließen mussten. Wenn Sie die Botschaft von der Person trennen, geht die Kritik nicht zulasten Ihrer Selbstführung.</w:t>
            </w:r>
          </w:p>
        </w:tc>
      </w:tr>
      <w:tr w:rsidR="00742C22" w:rsidRPr="00742C22" w14:paraId="4430155E" w14:textId="77777777" w:rsidTr="00A33E64">
        <w:trPr>
          <w:trHeight w:val="847"/>
          <w:jc w:val="center"/>
        </w:trPr>
        <w:tc>
          <w:tcPr>
            <w:tcW w:w="2404" w:type="dxa"/>
            <w:tcBorders>
              <w:top w:val="single" w:sz="4" w:space="0" w:color="auto"/>
              <w:left w:val="single" w:sz="4" w:space="0" w:color="auto"/>
              <w:bottom w:val="single" w:sz="4" w:space="0" w:color="auto"/>
              <w:right w:val="single" w:sz="4" w:space="0" w:color="auto"/>
            </w:tcBorders>
            <w:hideMark/>
          </w:tcPr>
          <w:p w14:paraId="01AC0AB6" w14:textId="77777777" w:rsidR="00742C22" w:rsidRPr="00742C22" w:rsidRDefault="00742C22" w:rsidP="00742C22">
            <w:pPr>
              <w:pStyle w:val="Listenabsatz"/>
              <w:numPr>
                <w:ilvl w:val="0"/>
                <w:numId w:val="30"/>
              </w:numPr>
              <w:spacing w:before="120" w:after="120"/>
              <w:ind w:left="80" w:hanging="218"/>
              <w:rPr>
                <w:rFonts w:ascii="Arial" w:hAnsi="Arial" w:cs="Arial"/>
                <w:sz w:val="24"/>
              </w:rPr>
            </w:pPr>
            <w:r w:rsidRPr="00742C22">
              <w:rPr>
                <w:rFonts w:ascii="Arial" w:hAnsi="Arial" w:cs="Arial"/>
                <w:sz w:val="24"/>
              </w:rPr>
              <w:t>Selbstwirksamkeit</w:t>
            </w:r>
          </w:p>
        </w:tc>
        <w:tc>
          <w:tcPr>
            <w:tcW w:w="2450" w:type="dxa"/>
            <w:tcBorders>
              <w:top w:val="single" w:sz="4" w:space="0" w:color="auto"/>
              <w:left w:val="single" w:sz="4" w:space="0" w:color="auto"/>
              <w:bottom w:val="single" w:sz="4" w:space="0" w:color="auto"/>
              <w:right w:val="single" w:sz="4" w:space="0" w:color="auto"/>
            </w:tcBorders>
          </w:tcPr>
          <w:p w14:paraId="40239E5E"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Nehmen Sie Zuspruch wahr.</w:t>
            </w:r>
          </w:p>
        </w:tc>
        <w:tc>
          <w:tcPr>
            <w:tcW w:w="5773" w:type="dxa"/>
            <w:tcBorders>
              <w:top w:val="single" w:sz="4" w:space="0" w:color="auto"/>
              <w:left w:val="single" w:sz="4" w:space="0" w:color="auto"/>
              <w:bottom w:val="single" w:sz="4" w:space="0" w:color="auto"/>
              <w:right w:val="single" w:sz="4" w:space="0" w:color="auto"/>
            </w:tcBorders>
          </w:tcPr>
          <w:p w14:paraId="317F431C"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Sie haben mit viel Einsatz erreicht, dass der Schulträger Ihre Schule digital ausstattet.</w:t>
            </w:r>
          </w:p>
          <w:p w14:paraId="7A3E542C" w14:textId="77777777" w:rsidR="00742C22" w:rsidRPr="00742C22" w:rsidRDefault="00742C22" w:rsidP="00742C22">
            <w:pPr>
              <w:spacing w:before="120" w:after="120"/>
              <w:ind w:left="-107"/>
              <w:rPr>
                <w:rFonts w:ascii="Arial" w:hAnsi="Arial" w:cs="Arial"/>
                <w:bCs/>
                <w:sz w:val="24"/>
                <w:szCs w:val="24"/>
              </w:rPr>
            </w:pPr>
            <w:r w:rsidRPr="00742C22">
              <w:rPr>
                <w:rFonts w:ascii="Arial" w:hAnsi="Arial" w:cs="Arial"/>
                <w:bCs/>
                <w:sz w:val="24"/>
                <w:szCs w:val="24"/>
              </w:rPr>
              <w:t>Sie registrieren das überwiegend positive Echo Ihres Kollegiums und sehen über einige wenige Nörgler hinweg. Die positive Resonanz bestätigt die Wirksamkeit Ihrer Eigenführung. Klopfen Sie sich im Stillen auf die Schulter und loben Sie sich: „Gut gemacht!“ Das dürfen Sie jetzt tun.</w:t>
            </w:r>
          </w:p>
        </w:tc>
      </w:tr>
    </w:tbl>
    <w:p w14:paraId="7DA63128" w14:textId="77777777" w:rsidR="00742C22" w:rsidRPr="000F0529" w:rsidRDefault="00742C22" w:rsidP="000F0529">
      <w:pPr>
        <w:spacing w:before="120" w:after="120"/>
        <w:rPr>
          <w:rFonts w:ascii="Arial" w:hAnsi="Arial" w:cs="Arial"/>
          <w:bCs/>
          <w:sz w:val="24"/>
          <w:szCs w:val="24"/>
        </w:rPr>
      </w:pPr>
    </w:p>
    <w:sectPr w:rsidR="00742C22" w:rsidRPr="000F0529" w:rsidSect="00742C22">
      <w:headerReference w:type="default" r:id="rId7"/>
      <w:pgSz w:w="11906" w:h="16838" w:code="9"/>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Light">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Fira Sans Condensed">
    <w:altName w:val="Calibri"/>
    <w:panose1 w:val="00000000000000000000"/>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C5706AE" w:rsidR="00095CFC" w:rsidRPr="00AD651E" w:rsidRDefault="000F0529"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w:t>
          </w:r>
          <w:r w:rsidR="00742C22">
            <w:rPr>
              <w:rFonts w:ascii="Interstate Cond" w:hAnsi="Interstate Cond"/>
              <w:b/>
              <w:color w:val="FFFFFF" w:themeColor="background1"/>
              <w:sz w:val="32"/>
            </w:rPr>
            <w:t>6</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71212"/>
    <w:multiLevelType w:val="hybridMultilevel"/>
    <w:tmpl w:val="AE08DA08"/>
    <w:lvl w:ilvl="0" w:tplc="D4A8DA9A">
      <w:start w:val="1"/>
      <w:numFmt w:val="decimal"/>
      <w:pStyle w:val="6bSGH-Aufzhlung"/>
      <w:lvlText w:val="%1."/>
      <w:lvlJc w:val="left"/>
      <w:pPr>
        <w:ind w:left="284" w:hanging="284"/>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C5680D"/>
    <w:multiLevelType w:val="hybridMultilevel"/>
    <w:tmpl w:val="F7006EC0"/>
    <w:lvl w:ilvl="0" w:tplc="0407000F">
      <w:start w:val="1"/>
      <w:numFmt w:val="decimal"/>
      <w:lvlText w:val="%1."/>
      <w:lvlJc w:val="left"/>
      <w:pPr>
        <w:ind w:left="613" w:hanging="360"/>
      </w:pPr>
    </w:lvl>
    <w:lvl w:ilvl="1" w:tplc="04070019" w:tentative="1">
      <w:start w:val="1"/>
      <w:numFmt w:val="lowerLetter"/>
      <w:lvlText w:val="%2."/>
      <w:lvlJc w:val="left"/>
      <w:pPr>
        <w:ind w:left="1333" w:hanging="360"/>
      </w:pPr>
    </w:lvl>
    <w:lvl w:ilvl="2" w:tplc="0407001B" w:tentative="1">
      <w:start w:val="1"/>
      <w:numFmt w:val="lowerRoman"/>
      <w:lvlText w:val="%3."/>
      <w:lvlJc w:val="right"/>
      <w:pPr>
        <w:ind w:left="2053" w:hanging="180"/>
      </w:pPr>
    </w:lvl>
    <w:lvl w:ilvl="3" w:tplc="0407000F" w:tentative="1">
      <w:start w:val="1"/>
      <w:numFmt w:val="decimal"/>
      <w:lvlText w:val="%4."/>
      <w:lvlJc w:val="left"/>
      <w:pPr>
        <w:ind w:left="2773" w:hanging="360"/>
      </w:pPr>
    </w:lvl>
    <w:lvl w:ilvl="4" w:tplc="04070019" w:tentative="1">
      <w:start w:val="1"/>
      <w:numFmt w:val="lowerLetter"/>
      <w:lvlText w:val="%5."/>
      <w:lvlJc w:val="left"/>
      <w:pPr>
        <w:ind w:left="3493" w:hanging="360"/>
      </w:pPr>
    </w:lvl>
    <w:lvl w:ilvl="5" w:tplc="0407001B" w:tentative="1">
      <w:start w:val="1"/>
      <w:numFmt w:val="lowerRoman"/>
      <w:lvlText w:val="%6."/>
      <w:lvlJc w:val="right"/>
      <w:pPr>
        <w:ind w:left="4213" w:hanging="180"/>
      </w:pPr>
    </w:lvl>
    <w:lvl w:ilvl="6" w:tplc="0407000F" w:tentative="1">
      <w:start w:val="1"/>
      <w:numFmt w:val="decimal"/>
      <w:lvlText w:val="%7."/>
      <w:lvlJc w:val="left"/>
      <w:pPr>
        <w:ind w:left="4933" w:hanging="360"/>
      </w:pPr>
    </w:lvl>
    <w:lvl w:ilvl="7" w:tplc="04070019" w:tentative="1">
      <w:start w:val="1"/>
      <w:numFmt w:val="lowerLetter"/>
      <w:lvlText w:val="%8."/>
      <w:lvlJc w:val="left"/>
      <w:pPr>
        <w:ind w:left="5653" w:hanging="360"/>
      </w:pPr>
    </w:lvl>
    <w:lvl w:ilvl="8" w:tplc="0407001B" w:tentative="1">
      <w:start w:val="1"/>
      <w:numFmt w:val="lowerRoman"/>
      <w:lvlText w:val="%9."/>
      <w:lvlJc w:val="right"/>
      <w:pPr>
        <w:ind w:left="6373" w:hanging="180"/>
      </w:p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69121C6"/>
    <w:multiLevelType w:val="hybridMultilevel"/>
    <w:tmpl w:val="AF34D8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D56D85"/>
    <w:multiLevelType w:val="hybridMultilevel"/>
    <w:tmpl w:val="EA545574"/>
    <w:lvl w:ilvl="0" w:tplc="4DECC562">
      <w:start w:val="1"/>
      <w:numFmt w:val="bullet"/>
      <w:pStyle w:val="6aSGH-Auflistung"/>
      <w:lvlText w:val=""/>
      <w:lvlJc w:val="left"/>
      <w:pPr>
        <w:ind w:left="284" w:hanging="284"/>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6"/>
  </w:num>
  <w:num w:numId="4">
    <w:abstractNumId w:val="12"/>
  </w:num>
  <w:num w:numId="5">
    <w:abstractNumId w:val="6"/>
  </w:num>
  <w:num w:numId="6">
    <w:abstractNumId w:val="9"/>
  </w:num>
  <w:num w:numId="7">
    <w:abstractNumId w:val="14"/>
  </w:num>
  <w:num w:numId="8">
    <w:abstractNumId w:val="13"/>
  </w:num>
  <w:num w:numId="9">
    <w:abstractNumId w:val="10"/>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3"/>
  </w:num>
  <w:num w:numId="25">
    <w:abstractNumId w:val="25"/>
  </w:num>
  <w:num w:numId="26">
    <w:abstractNumId w:val="27"/>
  </w:num>
  <w:num w:numId="27">
    <w:abstractNumId w:val="7"/>
  </w:num>
  <w:num w:numId="28">
    <w:abstractNumId w:val="7"/>
    <w:lvlOverride w:ilvl="0">
      <w:startOverride w:val="1"/>
    </w:lvlOverride>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0F0529"/>
    <w:rsid w:val="001148B0"/>
    <w:rsid w:val="0015409B"/>
    <w:rsid w:val="001714D4"/>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42C22"/>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33E64"/>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SGH-Auflistung">
    <w:name w:val="6a_SGH-Auflistung"/>
    <w:basedOn w:val="Standard"/>
    <w:qFormat/>
    <w:rsid w:val="00742C22"/>
    <w:pPr>
      <w:numPr>
        <w:numId w:val="26"/>
      </w:numPr>
      <w:spacing w:after="260" w:line="260" w:lineRule="exact"/>
      <w:contextualSpacing/>
      <w:jc w:val="both"/>
    </w:pPr>
    <w:rPr>
      <w:rFonts w:ascii="Fira Sans Light" w:eastAsiaTheme="minorHAnsi" w:hAnsi="Fira Sans Light" w:cs="Times New Roman (Textkörper CS)"/>
      <w:sz w:val="18"/>
      <w:szCs w:val="19"/>
    </w:rPr>
  </w:style>
  <w:style w:type="paragraph" w:customStyle="1" w:styleId="6bSGH-Aufzhlung">
    <w:name w:val="6b_SGH-Aufzählung"/>
    <w:basedOn w:val="Standard"/>
    <w:qFormat/>
    <w:rsid w:val="00742C22"/>
    <w:pPr>
      <w:numPr>
        <w:numId w:val="27"/>
      </w:numPr>
      <w:spacing w:after="260" w:line="260" w:lineRule="exact"/>
      <w:contextualSpacing/>
      <w:jc w:val="both"/>
    </w:pPr>
    <w:rPr>
      <w:rFonts w:ascii="Fira Sans Light" w:eastAsiaTheme="minorHAnsi" w:hAnsi="Fira Sans Light" w:cs="Times New Roman (Textkörper CS)"/>
      <w:sz w:val="18"/>
      <w:szCs w:val="19"/>
    </w:rPr>
  </w:style>
  <w:style w:type="paragraph" w:customStyle="1" w:styleId="7eSGHKasten-Linkzeile">
    <w:name w:val="7e_SGH_Kasten-Linkzeile"/>
    <w:basedOn w:val="Standard"/>
    <w:qFormat/>
    <w:rsid w:val="00742C22"/>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2020-12-18T21:48:00Z</dcterms:created>
  <dcterms:modified xsi:type="dcterms:W3CDTF">2020-12-18T21:48:00Z</dcterms:modified>
</cp:coreProperties>
</file>