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81B07" w14:textId="77777777" w:rsidR="002A5D13" w:rsidRDefault="007A7CA7" w:rsidP="007A7CA7">
      <w:pPr>
        <w:tabs>
          <w:tab w:val="left" w:pos="5280"/>
        </w:tabs>
        <w:rPr>
          <w:b/>
          <w:noProof/>
          <w:lang w:eastAsia="de-DE"/>
        </w:rPr>
      </w:pPr>
      <w:r>
        <w:rPr>
          <w:b/>
          <w:noProof/>
          <w:lang w:eastAsia="de-DE"/>
        </w:rPr>
        <w:tab/>
      </w:r>
    </w:p>
    <w:p w14:paraId="5627CCF7" w14:textId="222F36D7" w:rsidR="006E0687" w:rsidRPr="00E70490" w:rsidRDefault="007A7CA7" w:rsidP="00E70490">
      <w:pPr>
        <w:tabs>
          <w:tab w:val="left" w:pos="1440"/>
          <w:tab w:val="left" w:pos="2430"/>
          <w:tab w:val="left" w:pos="4185"/>
          <w:tab w:val="left" w:pos="6900"/>
        </w:tabs>
      </w:pPr>
      <w:r>
        <w:tab/>
      </w:r>
      <w:r w:rsidR="00F94A33">
        <w:tab/>
      </w:r>
      <w:r>
        <w:tab/>
      </w:r>
      <w:r w:rsidR="00B707AF">
        <w:tab/>
      </w:r>
    </w:p>
    <w:p w14:paraId="0A61F661" w14:textId="6B359FA8" w:rsidR="00E70490" w:rsidRDefault="00E70490" w:rsidP="001A4828">
      <w:pPr>
        <w:spacing w:before="120" w:after="120"/>
        <w:rPr>
          <w:rFonts w:ascii="Arial" w:hAnsi="Arial" w:cs="Arial"/>
          <w:bCs/>
          <w:sz w:val="24"/>
          <w:szCs w:val="24"/>
        </w:rPr>
      </w:pPr>
    </w:p>
    <w:tbl>
      <w:tblPr>
        <w:tblStyle w:val="Tabellenraster"/>
        <w:tblW w:w="10873" w:type="dxa"/>
        <w:jc w:val="center"/>
        <w:tblCellMar>
          <w:left w:w="198" w:type="dxa"/>
          <w:right w:w="198" w:type="dxa"/>
        </w:tblCellMar>
        <w:tblLook w:val="04A0" w:firstRow="1" w:lastRow="0" w:firstColumn="1" w:lastColumn="0" w:noHBand="0" w:noVBand="1"/>
      </w:tblPr>
      <w:tblGrid>
        <w:gridCol w:w="3884"/>
        <w:gridCol w:w="6989"/>
      </w:tblGrid>
      <w:tr w:rsidR="00E70490" w:rsidRPr="006B28D6" w14:paraId="4199E68F" w14:textId="77777777" w:rsidTr="00E94D91">
        <w:trPr>
          <w:jc w:val="center"/>
        </w:trPr>
        <w:tc>
          <w:tcPr>
            <w:tcW w:w="10873" w:type="dxa"/>
            <w:gridSpan w:val="2"/>
            <w:shd w:val="clear" w:color="auto" w:fill="6D92B3"/>
          </w:tcPr>
          <w:p w14:paraId="05D46E58" w14:textId="77777777" w:rsidR="00E70490" w:rsidRPr="006B28D6" w:rsidRDefault="00E70490" w:rsidP="00E94D91">
            <w:pPr>
              <w:spacing w:before="120" w:after="120"/>
              <w:rPr>
                <w:rFonts w:ascii="Arial" w:hAnsi="Arial" w:cs="Arial"/>
                <w:b/>
                <w:sz w:val="28"/>
                <w:szCs w:val="28"/>
              </w:rPr>
            </w:pPr>
            <w:bookmarkStart w:id="0" w:name="_GoBack"/>
            <w:r w:rsidRPr="006B28D6">
              <w:rPr>
                <w:rFonts w:ascii="Arial" w:hAnsi="Arial" w:cs="Arial"/>
                <w:b/>
                <w:sz w:val="28"/>
                <w:szCs w:val="28"/>
              </w:rPr>
              <w:t>Kommunikation als Führungsinstrument: Souverän bleiben in kontroversen Situationen</w:t>
            </w:r>
            <w:bookmarkEnd w:id="0"/>
          </w:p>
        </w:tc>
      </w:tr>
      <w:tr w:rsidR="00E70490" w:rsidRPr="00E70490" w14:paraId="70AF4574" w14:textId="77777777" w:rsidTr="00E94D91">
        <w:trPr>
          <w:jc w:val="center"/>
        </w:trPr>
        <w:tc>
          <w:tcPr>
            <w:tcW w:w="3884" w:type="dxa"/>
            <w:shd w:val="clear" w:color="auto" w:fill="EBC791"/>
          </w:tcPr>
          <w:p w14:paraId="482EDC73" w14:textId="77777777" w:rsidR="00E70490" w:rsidRPr="00E70490" w:rsidRDefault="00E70490" w:rsidP="00E70490">
            <w:pPr>
              <w:spacing w:before="120" w:after="120"/>
              <w:rPr>
                <w:rFonts w:ascii="Arial" w:hAnsi="Arial" w:cs="Arial"/>
                <w:b/>
                <w:sz w:val="24"/>
                <w:szCs w:val="24"/>
              </w:rPr>
            </w:pPr>
            <w:r w:rsidRPr="00E70490">
              <w:rPr>
                <w:rFonts w:ascii="Arial" w:hAnsi="Arial" w:cs="Arial"/>
                <w:b/>
                <w:sz w:val="24"/>
                <w:szCs w:val="24"/>
              </w:rPr>
              <w:t xml:space="preserve">Mit diesen </w:t>
            </w:r>
            <w:proofErr w:type="spellStart"/>
            <w:r w:rsidRPr="00E70490">
              <w:rPr>
                <w:rFonts w:ascii="Arial" w:hAnsi="Arial" w:cs="Arial"/>
                <w:b/>
                <w:sz w:val="24"/>
                <w:szCs w:val="24"/>
              </w:rPr>
              <w:t>Einwandtypen</w:t>
            </w:r>
            <w:proofErr w:type="spellEnd"/>
            <w:r w:rsidRPr="00E70490">
              <w:rPr>
                <w:rFonts w:ascii="Arial" w:hAnsi="Arial" w:cs="Arial"/>
                <w:b/>
                <w:sz w:val="24"/>
                <w:szCs w:val="24"/>
              </w:rPr>
              <w:t xml:space="preserve"> müssen Sie rechnen</w:t>
            </w:r>
          </w:p>
        </w:tc>
        <w:tc>
          <w:tcPr>
            <w:tcW w:w="6989" w:type="dxa"/>
            <w:shd w:val="clear" w:color="auto" w:fill="EBC791"/>
          </w:tcPr>
          <w:p w14:paraId="48CBF088" w14:textId="77777777" w:rsidR="00E70490" w:rsidRPr="00E70490" w:rsidRDefault="00E70490" w:rsidP="00E70490">
            <w:pPr>
              <w:spacing w:before="120" w:after="120"/>
              <w:rPr>
                <w:rFonts w:ascii="Arial" w:hAnsi="Arial" w:cs="Arial"/>
                <w:b/>
                <w:sz w:val="24"/>
                <w:szCs w:val="24"/>
              </w:rPr>
            </w:pPr>
            <w:r w:rsidRPr="00E70490">
              <w:rPr>
                <w:rFonts w:ascii="Arial" w:hAnsi="Arial" w:cs="Arial"/>
                <w:b/>
                <w:sz w:val="24"/>
                <w:szCs w:val="24"/>
              </w:rPr>
              <w:t>Damit beweisen Sie Ihre kommunikative Kompetenz</w:t>
            </w:r>
          </w:p>
          <w:p w14:paraId="52D7798E" w14:textId="77777777" w:rsidR="00E70490" w:rsidRPr="00E70490" w:rsidRDefault="00E70490" w:rsidP="00E70490">
            <w:pPr>
              <w:spacing w:before="120" w:after="120"/>
              <w:rPr>
                <w:rFonts w:ascii="Arial" w:hAnsi="Arial" w:cs="Arial"/>
                <w:b/>
                <w:sz w:val="24"/>
                <w:szCs w:val="24"/>
              </w:rPr>
            </w:pPr>
            <w:r w:rsidRPr="00E70490">
              <w:rPr>
                <w:rFonts w:ascii="Arial" w:hAnsi="Arial" w:cs="Arial"/>
                <w:b/>
                <w:sz w:val="24"/>
                <w:szCs w:val="24"/>
              </w:rPr>
              <w:t>(N): Diesen rhetorischen Patzer sollten Sie vermeiden</w:t>
            </w:r>
          </w:p>
          <w:p w14:paraId="2F5F28DC" w14:textId="77777777" w:rsidR="00E70490" w:rsidRPr="00E70490" w:rsidRDefault="00E70490" w:rsidP="00E70490">
            <w:pPr>
              <w:spacing w:before="120" w:after="120"/>
              <w:rPr>
                <w:rFonts w:ascii="Arial" w:hAnsi="Arial" w:cs="Arial"/>
                <w:b/>
                <w:sz w:val="24"/>
                <w:szCs w:val="24"/>
              </w:rPr>
            </w:pPr>
            <w:r w:rsidRPr="00E70490">
              <w:rPr>
                <w:rFonts w:ascii="Arial" w:hAnsi="Arial" w:cs="Arial"/>
                <w:b/>
                <w:sz w:val="24"/>
                <w:szCs w:val="24"/>
              </w:rPr>
              <w:t>(J): So führen Sie rhetorisch optimal</w:t>
            </w:r>
          </w:p>
        </w:tc>
      </w:tr>
      <w:tr w:rsidR="00E70490" w:rsidRPr="006B28D6" w14:paraId="67D9A9CC" w14:textId="77777777" w:rsidTr="00E94D91">
        <w:trPr>
          <w:trHeight w:val="274"/>
          <w:jc w:val="center"/>
        </w:trPr>
        <w:tc>
          <w:tcPr>
            <w:tcW w:w="3884" w:type="dxa"/>
          </w:tcPr>
          <w:p w14:paraId="3BA28A42" w14:textId="77777777" w:rsidR="00E70490" w:rsidRDefault="00E70490" w:rsidP="00E70490">
            <w:pPr>
              <w:pStyle w:val="Listenabsatz"/>
              <w:numPr>
                <w:ilvl w:val="0"/>
                <w:numId w:val="26"/>
              </w:numPr>
              <w:spacing w:before="120" w:after="120" w:line="276" w:lineRule="auto"/>
              <w:ind w:left="284"/>
              <w:rPr>
                <w:rFonts w:ascii="Arial" w:hAnsi="Arial" w:cs="Arial"/>
                <w:b/>
                <w:sz w:val="24"/>
              </w:rPr>
            </w:pPr>
            <w:r w:rsidRPr="006B28D6">
              <w:rPr>
                <w:rFonts w:ascii="Arial" w:hAnsi="Arial" w:cs="Arial"/>
                <w:b/>
                <w:sz w:val="24"/>
              </w:rPr>
              <w:t>Der Unterstützungseinwand</w:t>
            </w:r>
          </w:p>
          <w:p w14:paraId="4FB9E5AF" w14:textId="01A1EA34" w:rsidR="00E70490" w:rsidRPr="00E70490" w:rsidRDefault="00E70490" w:rsidP="00E70490">
            <w:pPr>
              <w:spacing w:before="120" w:after="120"/>
              <w:ind w:left="-76"/>
              <w:rPr>
                <w:rFonts w:ascii="Arial" w:hAnsi="Arial" w:cs="Arial"/>
                <w:b/>
                <w:bCs/>
                <w:sz w:val="24"/>
                <w:szCs w:val="24"/>
              </w:rPr>
            </w:pPr>
            <w:r w:rsidRPr="00E70490">
              <w:rPr>
                <w:rFonts w:ascii="Arial" w:hAnsi="Arial" w:cs="Arial"/>
                <w:sz w:val="24"/>
              </w:rPr>
              <w:t>Beispiel: In der Konferenz wird lebhaft über einen Vorschlag der Schulleitung diskutiert. Einige Lehrkräfte melden sich zu Wort. Sie stimmen zwar manchen Einwänden ihrer Kollegen zu, finden letztlich aber den Schulleitungsvorschlag richtig.</w:t>
            </w:r>
          </w:p>
        </w:tc>
        <w:tc>
          <w:tcPr>
            <w:tcW w:w="6989" w:type="dxa"/>
          </w:tcPr>
          <w:p w14:paraId="29AD4D55" w14:textId="77777777" w:rsidR="00E70490" w:rsidRPr="006B28D6" w:rsidRDefault="00E70490" w:rsidP="00E94D91">
            <w:pPr>
              <w:pStyle w:val="Listenabsatz"/>
              <w:spacing w:before="120" w:after="120" w:line="276" w:lineRule="auto"/>
              <w:ind w:left="0"/>
              <w:rPr>
                <w:rFonts w:ascii="Arial" w:hAnsi="Arial" w:cs="Arial"/>
                <w:bCs w:val="0"/>
                <w:sz w:val="24"/>
              </w:rPr>
            </w:pPr>
            <w:r w:rsidRPr="006B28D6">
              <w:rPr>
                <w:rFonts w:ascii="Arial" w:hAnsi="Arial" w:cs="Arial"/>
                <w:bCs w:val="0"/>
                <w:sz w:val="24"/>
              </w:rPr>
              <w:t>Sie registrieren diesen Beitrag als Unterstützung und Initiative zur Mehrheitsbeschaffung für Ihr Projekt.</w:t>
            </w:r>
          </w:p>
          <w:p w14:paraId="787C78C9" w14:textId="77777777" w:rsidR="00E70490" w:rsidRPr="006B28D6" w:rsidRDefault="00E70490" w:rsidP="00E70490">
            <w:pPr>
              <w:pStyle w:val="Listenabsatz"/>
              <w:numPr>
                <w:ilvl w:val="0"/>
                <w:numId w:val="25"/>
              </w:numPr>
              <w:spacing w:before="120" w:after="120" w:line="276" w:lineRule="auto"/>
              <w:ind w:left="361"/>
              <w:rPr>
                <w:rFonts w:ascii="Arial" w:hAnsi="Arial" w:cs="Arial"/>
                <w:bCs w:val="0"/>
                <w:sz w:val="24"/>
              </w:rPr>
            </w:pPr>
            <w:r w:rsidRPr="006B28D6">
              <w:rPr>
                <w:rFonts w:ascii="Arial" w:hAnsi="Arial" w:cs="Arial"/>
                <w:bCs w:val="0"/>
                <w:sz w:val="24"/>
              </w:rPr>
              <w:t>(N): Sie ignorieren diese Beiträge.</w:t>
            </w:r>
          </w:p>
          <w:p w14:paraId="5A32BF17" w14:textId="77777777" w:rsidR="00E70490" w:rsidRPr="006B28D6" w:rsidRDefault="00E70490" w:rsidP="00E70490">
            <w:pPr>
              <w:pStyle w:val="Listenabsatz"/>
              <w:numPr>
                <w:ilvl w:val="0"/>
                <w:numId w:val="25"/>
              </w:numPr>
              <w:spacing w:before="120" w:after="120" w:line="276" w:lineRule="auto"/>
              <w:ind w:left="361"/>
              <w:rPr>
                <w:rFonts w:ascii="Arial" w:hAnsi="Arial" w:cs="Arial"/>
                <w:bCs w:val="0"/>
                <w:sz w:val="24"/>
              </w:rPr>
            </w:pPr>
            <w:r w:rsidRPr="006B28D6">
              <w:rPr>
                <w:rFonts w:ascii="Arial" w:hAnsi="Arial" w:cs="Arial"/>
                <w:bCs w:val="0"/>
                <w:sz w:val="24"/>
              </w:rPr>
              <w:t>(J): Sie danken ausdrücklich für diese Unterstützung.</w:t>
            </w:r>
          </w:p>
        </w:tc>
      </w:tr>
      <w:tr w:rsidR="00E70490" w:rsidRPr="006B28D6" w14:paraId="6D91B901" w14:textId="77777777" w:rsidTr="00E94D91">
        <w:trPr>
          <w:trHeight w:val="274"/>
          <w:jc w:val="center"/>
        </w:trPr>
        <w:tc>
          <w:tcPr>
            <w:tcW w:w="3884" w:type="dxa"/>
          </w:tcPr>
          <w:p w14:paraId="4F7293CA" w14:textId="77777777" w:rsidR="00E70490" w:rsidRDefault="00E70490" w:rsidP="00E70490">
            <w:pPr>
              <w:pStyle w:val="Listenabsatz"/>
              <w:numPr>
                <w:ilvl w:val="0"/>
                <w:numId w:val="26"/>
              </w:numPr>
              <w:spacing w:before="120" w:after="120" w:line="276" w:lineRule="auto"/>
              <w:ind w:left="284"/>
              <w:rPr>
                <w:rFonts w:ascii="Arial" w:hAnsi="Arial" w:cs="Arial"/>
                <w:b/>
                <w:sz w:val="24"/>
              </w:rPr>
            </w:pPr>
            <w:r w:rsidRPr="006B28D6">
              <w:rPr>
                <w:rFonts w:ascii="Arial" w:hAnsi="Arial" w:cs="Arial"/>
                <w:b/>
                <w:sz w:val="24"/>
              </w:rPr>
              <w:t>Der Umleitungseinwand</w:t>
            </w:r>
          </w:p>
          <w:p w14:paraId="42973D01" w14:textId="2043431E" w:rsidR="00E70490" w:rsidRPr="00E70490" w:rsidRDefault="00E70490" w:rsidP="00E70490">
            <w:pPr>
              <w:spacing w:before="120" w:after="120"/>
              <w:ind w:left="-76"/>
              <w:rPr>
                <w:rFonts w:ascii="Arial" w:hAnsi="Arial" w:cs="Arial"/>
                <w:b/>
                <w:bCs/>
                <w:sz w:val="24"/>
              </w:rPr>
            </w:pPr>
            <w:r w:rsidRPr="00E70490">
              <w:rPr>
                <w:rFonts w:ascii="Arial" w:hAnsi="Arial" w:cs="Arial"/>
                <w:sz w:val="24"/>
              </w:rPr>
              <w:t>Beispiel: Der Lehrerrats</w:t>
            </w:r>
            <w:r w:rsidRPr="00E70490">
              <w:rPr>
                <w:rFonts w:ascii="Arial" w:hAnsi="Arial" w:cs="Arial"/>
                <w:sz w:val="24"/>
              </w:rPr>
              <w:t>-</w:t>
            </w:r>
            <w:proofErr w:type="spellStart"/>
            <w:r w:rsidRPr="00E70490">
              <w:rPr>
                <w:rFonts w:ascii="Arial" w:hAnsi="Arial" w:cs="Arial"/>
                <w:sz w:val="24"/>
              </w:rPr>
              <w:t>vorsitzende</w:t>
            </w:r>
            <w:proofErr w:type="spellEnd"/>
            <w:r w:rsidRPr="00E70490">
              <w:rPr>
                <w:rFonts w:ascii="Arial" w:hAnsi="Arial" w:cs="Arial"/>
                <w:sz w:val="24"/>
              </w:rPr>
              <w:t xml:space="preserve"> gibt zu bedenken, dass der Vorschlag zu einer höheren Arbeitsbelastung des Kollegiums führen könnte. Er möchte seine Berechnungen präsentieren und erläutern.</w:t>
            </w:r>
          </w:p>
        </w:tc>
        <w:tc>
          <w:tcPr>
            <w:tcW w:w="6989" w:type="dxa"/>
          </w:tcPr>
          <w:p w14:paraId="3F0C28FA" w14:textId="77777777" w:rsidR="00E70490" w:rsidRPr="006B28D6" w:rsidRDefault="00E70490" w:rsidP="00E94D91">
            <w:pPr>
              <w:pStyle w:val="Listenabsatz"/>
              <w:spacing w:before="120" w:after="120" w:line="276" w:lineRule="auto"/>
              <w:ind w:left="0"/>
              <w:rPr>
                <w:rFonts w:ascii="Arial" w:hAnsi="Arial" w:cs="Arial"/>
                <w:bCs w:val="0"/>
                <w:sz w:val="24"/>
              </w:rPr>
            </w:pPr>
            <w:r w:rsidRPr="006B28D6">
              <w:rPr>
                <w:rFonts w:ascii="Arial" w:hAnsi="Arial" w:cs="Arial"/>
                <w:bCs w:val="0"/>
                <w:sz w:val="24"/>
              </w:rPr>
              <w:t xml:space="preserve">Sie erkennen sofort, dass der Kollege den Tagesordnungspunkt auf das Gebiet seiner eigenen Expertise umleiten möchte. </w:t>
            </w:r>
          </w:p>
          <w:p w14:paraId="508CE1F3" w14:textId="77777777" w:rsidR="00E70490" w:rsidRPr="006B28D6" w:rsidRDefault="00E70490" w:rsidP="00E70490">
            <w:pPr>
              <w:pStyle w:val="Listenabsatz"/>
              <w:numPr>
                <w:ilvl w:val="0"/>
                <w:numId w:val="25"/>
              </w:numPr>
              <w:spacing w:before="120" w:after="120" w:line="276" w:lineRule="auto"/>
              <w:ind w:left="361"/>
              <w:rPr>
                <w:rFonts w:ascii="Arial" w:hAnsi="Arial" w:cs="Arial"/>
                <w:bCs w:val="0"/>
                <w:sz w:val="24"/>
              </w:rPr>
            </w:pPr>
            <w:r w:rsidRPr="006B28D6">
              <w:rPr>
                <w:rFonts w:ascii="Arial" w:hAnsi="Arial" w:cs="Arial"/>
                <w:bCs w:val="0"/>
                <w:sz w:val="24"/>
              </w:rPr>
              <w:t>(N): Sie blockieren die Darlegungen des Lehrerratsvorsitzenden. (Achtung: Das ist ein No-Go!)</w:t>
            </w:r>
          </w:p>
          <w:p w14:paraId="47C50D08" w14:textId="77777777" w:rsidR="00E70490" w:rsidRPr="006B28D6" w:rsidRDefault="00E70490" w:rsidP="00E70490">
            <w:pPr>
              <w:pStyle w:val="Listenabsatz"/>
              <w:numPr>
                <w:ilvl w:val="0"/>
                <w:numId w:val="25"/>
              </w:numPr>
              <w:spacing w:before="120" w:after="120" w:line="276" w:lineRule="auto"/>
              <w:ind w:left="361"/>
              <w:rPr>
                <w:rFonts w:ascii="Arial" w:hAnsi="Arial" w:cs="Arial"/>
                <w:bCs w:val="0"/>
                <w:sz w:val="24"/>
              </w:rPr>
            </w:pPr>
            <w:r w:rsidRPr="006B28D6">
              <w:rPr>
                <w:rFonts w:ascii="Arial" w:hAnsi="Arial" w:cs="Arial"/>
                <w:bCs w:val="0"/>
                <w:sz w:val="24"/>
              </w:rPr>
              <w:t>(J): Sie bitten um Vorstellung und Erläuterung mit anschließender Diskussion.</w:t>
            </w:r>
          </w:p>
        </w:tc>
      </w:tr>
      <w:tr w:rsidR="00E70490" w:rsidRPr="006B28D6" w14:paraId="042DEDA5" w14:textId="77777777" w:rsidTr="00E94D91">
        <w:trPr>
          <w:trHeight w:val="274"/>
          <w:jc w:val="center"/>
        </w:trPr>
        <w:tc>
          <w:tcPr>
            <w:tcW w:w="3884" w:type="dxa"/>
          </w:tcPr>
          <w:p w14:paraId="3ED659BE" w14:textId="77777777" w:rsidR="00E70490" w:rsidRDefault="00E70490" w:rsidP="00E70490">
            <w:pPr>
              <w:pStyle w:val="Listenabsatz"/>
              <w:numPr>
                <w:ilvl w:val="0"/>
                <w:numId w:val="26"/>
              </w:numPr>
              <w:spacing w:before="120" w:after="120" w:line="276" w:lineRule="auto"/>
              <w:ind w:left="284"/>
              <w:rPr>
                <w:rFonts w:ascii="Arial" w:hAnsi="Arial" w:cs="Arial"/>
                <w:b/>
                <w:sz w:val="24"/>
              </w:rPr>
            </w:pPr>
            <w:r w:rsidRPr="006B28D6">
              <w:rPr>
                <w:rFonts w:ascii="Arial" w:hAnsi="Arial" w:cs="Arial"/>
                <w:b/>
                <w:sz w:val="24"/>
              </w:rPr>
              <w:t>Der Blockierungseinwan</w:t>
            </w:r>
            <w:r>
              <w:rPr>
                <w:rFonts w:ascii="Arial" w:hAnsi="Arial" w:cs="Arial"/>
                <w:b/>
                <w:sz w:val="24"/>
              </w:rPr>
              <w:t>d</w:t>
            </w:r>
          </w:p>
          <w:p w14:paraId="0605816E" w14:textId="14453A32" w:rsidR="00E70490" w:rsidRPr="00E70490" w:rsidRDefault="00E70490" w:rsidP="00E70490">
            <w:pPr>
              <w:spacing w:before="120" w:after="120"/>
              <w:ind w:left="-76"/>
              <w:rPr>
                <w:rFonts w:ascii="Arial" w:hAnsi="Arial" w:cs="Arial"/>
                <w:b/>
                <w:bCs/>
                <w:sz w:val="24"/>
              </w:rPr>
            </w:pPr>
            <w:r w:rsidRPr="00E70490">
              <w:rPr>
                <w:rFonts w:ascii="Arial" w:hAnsi="Arial" w:cs="Arial"/>
                <w:sz w:val="24"/>
              </w:rPr>
              <w:t>Beispiel: Ein Teilnehmer wendet ein, dass diese Diskussion zum wiederholten Mal geführt würde und auch jetzt wieder ergebnislos bliebe.</w:t>
            </w:r>
          </w:p>
        </w:tc>
        <w:tc>
          <w:tcPr>
            <w:tcW w:w="6989" w:type="dxa"/>
          </w:tcPr>
          <w:p w14:paraId="1C430DDD" w14:textId="77777777" w:rsidR="00E70490" w:rsidRPr="006B28D6" w:rsidRDefault="00E70490" w:rsidP="00E94D91">
            <w:pPr>
              <w:pStyle w:val="Listenabsatz"/>
              <w:spacing w:before="120" w:after="120" w:line="276" w:lineRule="auto"/>
              <w:ind w:left="0"/>
              <w:rPr>
                <w:rFonts w:ascii="Arial" w:hAnsi="Arial" w:cs="Arial"/>
                <w:bCs w:val="0"/>
                <w:sz w:val="24"/>
              </w:rPr>
            </w:pPr>
            <w:r w:rsidRPr="006B28D6">
              <w:rPr>
                <w:rFonts w:ascii="Arial" w:hAnsi="Arial" w:cs="Arial"/>
                <w:bCs w:val="0"/>
                <w:sz w:val="24"/>
              </w:rPr>
              <w:t>Sie registrieren sofort, dass sich hinter diesem Einwand ein Blockade-Versuch versteckt.</w:t>
            </w:r>
          </w:p>
          <w:p w14:paraId="537793E7" w14:textId="77777777" w:rsidR="00E70490" w:rsidRPr="006B28D6" w:rsidRDefault="00E70490" w:rsidP="00E70490">
            <w:pPr>
              <w:pStyle w:val="Listenabsatz"/>
              <w:numPr>
                <w:ilvl w:val="0"/>
                <w:numId w:val="25"/>
              </w:numPr>
              <w:spacing w:before="120" w:after="120" w:line="276" w:lineRule="auto"/>
              <w:ind w:left="361"/>
              <w:rPr>
                <w:rFonts w:ascii="Arial" w:hAnsi="Arial" w:cs="Arial"/>
                <w:bCs w:val="0"/>
                <w:sz w:val="24"/>
              </w:rPr>
            </w:pPr>
            <w:r w:rsidRPr="006B28D6">
              <w:rPr>
                <w:rFonts w:ascii="Arial" w:hAnsi="Arial" w:cs="Arial"/>
                <w:bCs w:val="0"/>
                <w:sz w:val="24"/>
              </w:rPr>
              <w:t>(N): Sie zeigen Ihre Ungeduld in Mimik und Gestik.</w:t>
            </w:r>
          </w:p>
          <w:p w14:paraId="2D71DCBC" w14:textId="77777777" w:rsidR="00E70490" w:rsidRPr="006B28D6" w:rsidRDefault="00E70490" w:rsidP="00E70490">
            <w:pPr>
              <w:pStyle w:val="Listenabsatz"/>
              <w:numPr>
                <w:ilvl w:val="0"/>
                <w:numId w:val="25"/>
              </w:numPr>
              <w:spacing w:before="120" w:after="120" w:line="276" w:lineRule="auto"/>
              <w:ind w:left="361"/>
              <w:rPr>
                <w:rFonts w:ascii="Arial" w:hAnsi="Arial" w:cs="Arial"/>
                <w:bCs w:val="0"/>
                <w:sz w:val="24"/>
              </w:rPr>
            </w:pPr>
            <w:r w:rsidRPr="006B28D6">
              <w:rPr>
                <w:rFonts w:ascii="Arial" w:hAnsi="Arial" w:cs="Arial"/>
                <w:bCs w:val="0"/>
                <w:sz w:val="24"/>
              </w:rPr>
              <w:t>(J): Sie stimmen dem Einwand bedingt zu, verweisen aber darauf, dass sich die Rahmenbedingungen inzwischen geändert haben und daher der Tagesordnungspunkt erneut zur Sprache kommen muss, damit in dieser Konferenz eine endgültige Lösung gefunden wird.</w:t>
            </w:r>
          </w:p>
        </w:tc>
      </w:tr>
      <w:tr w:rsidR="00E70490" w:rsidRPr="006B28D6" w14:paraId="7AE22742" w14:textId="77777777" w:rsidTr="00E94D91">
        <w:trPr>
          <w:trHeight w:val="274"/>
          <w:jc w:val="center"/>
        </w:trPr>
        <w:tc>
          <w:tcPr>
            <w:tcW w:w="3884" w:type="dxa"/>
          </w:tcPr>
          <w:p w14:paraId="7BCD04D5" w14:textId="77777777" w:rsidR="00E70490" w:rsidRDefault="00E70490" w:rsidP="00E70490">
            <w:pPr>
              <w:pStyle w:val="Listenabsatz"/>
              <w:numPr>
                <w:ilvl w:val="0"/>
                <w:numId w:val="26"/>
              </w:numPr>
              <w:spacing w:before="120" w:after="120" w:line="276" w:lineRule="auto"/>
              <w:ind w:left="284"/>
              <w:rPr>
                <w:rFonts w:ascii="Arial" w:hAnsi="Arial" w:cs="Arial"/>
                <w:b/>
                <w:sz w:val="24"/>
              </w:rPr>
            </w:pPr>
            <w:r w:rsidRPr="006B28D6">
              <w:rPr>
                <w:rFonts w:ascii="Arial" w:hAnsi="Arial" w:cs="Arial"/>
                <w:b/>
                <w:sz w:val="24"/>
              </w:rPr>
              <w:t>Der Unterhöhlungseinwand</w:t>
            </w:r>
          </w:p>
          <w:p w14:paraId="41348231" w14:textId="572EAE34" w:rsidR="00E70490" w:rsidRPr="00E70490" w:rsidRDefault="00E70490" w:rsidP="00E70490">
            <w:pPr>
              <w:spacing w:before="120" w:after="120"/>
              <w:ind w:left="-76"/>
              <w:rPr>
                <w:rFonts w:ascii="Arial" w:hAnsi="Arial" w:cs="Arial"/>
                <w:b/>
                <w:bCs/>
                <w:sz w:val="24"/>
              </w:rPr>
            </w:pPr>
            <w:r w:rsidRPr="00E70490">
              <w:rPr>
                <w:rFonts w:ascii="Arial" w:hAnsi="Arial" w:cs="Arial"/>
                <w:sz w:val="24"/>
              </w:rPr>
              <w:t>Beispiel: Ein Lehrer meldet sich zu Wort und kritisiert, dass die nun vereinbarte Lösung nicht ihren Zweck erfüllen wird.</w:t>
            </w:r>
          </w:p>
        </w:tc>
        <w:tc>
          <w:tcPr>
            <w:tcW w:w="6989" w:type="dxa"/>
          </w:tcPr>
          <w:p w14:paraId="16737801" w14:textId="77777777" w:rsidR="00E70490" w:rsidRPr="006B28D6" w:rsidRDefault="00E70490" w:rsidP="00E94D91">
            <w:pPr>
              <w:pStyle w:val="Listenabsatz"/>
              <w:spacing w:before="120" w:after="120" w:line="276" w:lineRule="auto"/>
              <w:ind w:left="0"/>
              <w:rPr>
                <w:rFonts w:ascii="Arial" w:hAnsi="Arial" w:cs="Arial"/>
                <w:bCs w:val="0"/>
                <w:sz w:val="24"/>
              </w:rPr>
            </w:pPr>
            <w:r w:rsidRPr="006B28D6">
              <w:rPr>
                <w:rFonts w:ascii="Arial" w:hAnsi="Arial" w:cs="Arial"/>
                <w:bCs w:val="0"/>
                <w:sz w:val="24"/>
              </w:rPr>
              <w:t>Sie erkennen sofort, dass der gefundene Konsens unterhöhlt werden soll.</w:t>
            </w:r>
          </w:p>
          <w:p w14:paraId="66CF8EE9" w14:textId="77777777" w:rsidR="00E70490" w:rsidRDefault="00E70490" w:rsidP="00E70490">
            <w:pPr>
              <w:pStyle w:val="Listenabsatz"/>
              <w:numPr>
                <w:ilvl w:val="0"/>
                <w:numId w:val="25"/>
              </w:numPr>
              <w:spacing w:before="120" w:after="120" w:line="276" w:lineRule="auto"/>
              <w:ind w:left="361"/>
              <w:rPr>
                <w:rFonts w:ascii="Arial" w:hAnsi="Arial" w:cs="Arial"/>
                <w:bCs w:val="0"/>
                <w:sz w:val="24"/>
              </w:rPr>
            </w:pPr>
            <w:r w:rsidRPr="006B28D6">
              <w:rPr>
                <w:rFonts w:ascii="Arial" w:hAnsi="Arial" w:cs="Arial"/>
                <w:bCs w:val="0"/>
                <w:sz w:val="24"/>
              </w:rPr>
              <w:t>(N): Sie werden laut und weisen den Beitragenden in seine Schranken. (Achtung: Das ist ein absolutes No-Go und ein Eigentor für Sie!)</w:t>
            </w:r>
          </w:p>
          <w:p w14:paraId="43AA6499" w14:textId="77777777" w:rsidR="00E70490" w:rsidRPr="006B28D6" w:rsidRDefault="00E70490" w:rsidP="00E70490">
            <w:pPr>
              <w:pStyle w:val="Listenabsatz"/>
              <w:numPr>
                <w:ilvl w:val="0"/>
                <w:numId w:val="25"/>
              </w:numPr>
              <w:spacing w:before="120" w:after="120" w:line="276" w:lineRule="auto"/>
              <w:ind w:left="361"/>
              <w:rPr>
                <w:rFonts w:ascii="Arial" w:hAnsi="Arial" w:cs="Arial"/>
                <w:bCs w:val="0"/>
                <w:sz w:val="24"/>
              </w:rPr>
            </w:pPr>
            <w:r w:rsidRPr="006B28D6">
              <w:rPr>
                <w:rFonts w:ascii="Arial" w:hAnsi="Arial" w:cs="Arial"/>
                <w:bCs w:val="0"/>
                <w:sz w:val="24"/>
              </w:rPr>
              <w:t>(J): Sie weisen den Beitrag sachlich zurück und legen dar, mit welchen Maßnahmen das Ziel erreicht werden soll</w:t>
            </w:r>
          </w:p>
        </w:tc>
      </w:tr>
    </w:tbl>
    <w:p w14:paraId="033AE79F" w14:textId="77777777" w:rsidR="00E70490" w:rsidRPr="001A4828" w:rsidRDefault="00E70490" w:rsidP="001A4828">
      <w:pPr>
        <w:spacing w:before="120" w:after="120"/>
        <w:rPr>
          <w:rFonts w:ascii="Arial" w:hAnsi="Arial" w:cs="Arial"/>
          <w:bCs/>
          <w:sz w:val="24"/>
          <w:szCs w:val="24"/>
        </w:rPr>
      </w:pPr>
    </w:p>
    <w:sectPr w:rsidR="00E70490" w:rsidRPr="001A4828" w:rsidSect="00E70490">
      <w:headerReference w:type="default" r:id="rId7"/>
      <w:pgSz w:w="11906" w:h="16838" w:code="9"/>
      <w:pgMar w:top="-1134"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7666FBB3" w:rsidR="00095CFC" w:rsidRPr="00AD651E" w:rsidRDefault="001A4828"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6E0687">
            <w:rPr>
              <w:rFonts w:ascii="Interstate Cond" w:hAnsi="Interstate Cond"/>
              <w:b/>
              <w:color w:val="FFFFFF" w:themeColor="background1"/>
              <w:sz w:val="32"/>
            </w:rPr>
            <w:t>4</w:t>
          </w:r>
          <w:r w:rsidR="001714D4" w:rsidRPr="00AD651E">
            <w:rPr>
              <w:rFonts w:ascii="Interstate Cond" w:hAnsi="Interstate Cond"/>
              <w:b/>
              <w:color w:val="FFFFFF" w:themeColor="background1"/>
              <w:sz w:val="32"/>
            </w:rPr>
            <w:t xml:space="preserve"> – 20</w:t>
          </w:r>
          <w:r>
            <w:rPr>
              <w:rFonts w:ascii="Interstate Cond" w:hAnsi="Interstate Cond"/>
              <w:b/>
              <w:color w:val="FFFFFF" w:themeColor="background1"/>
              <w:sz w:val="32"/>
            </w:rPr>
            <w:t>20</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1E404E"/>
    <w:multiLevelType w:val="hybridMultilevel"/>
    <w:tmpl w:val="7EB0BCE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2353C1"/>
    <w:multiLevelType w:val="hybridMultilevel"/>
    <w:tmpl w:val="A508C4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46B23"/>
    <w:multiLevelType w:val="hybridMultilevel"/>
    <w:tmpl w:val="BDF4E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406012"/>
    <w:multiLevelType w:val="hybridMultilevel"/>
    <w:tmpl w:val="95D81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25"/>
  </w:num>
  <w:num w:numId="4">
    <w:abstractNumId w:val="11"/>
  </w:num>
  <w:num w:numId="5">
    <w:abstractNumId w:val="7"/>
  </w:num>
  <w:num w:numId="6">
    <w:abstractNumId w:val="8"/>
  </w:num>
  <w:num w:numId="7">
    <w:abstractNumId w:val="14"/>
  </w:num>
  <w:num w:numId="8">
    <w:abstractNumId w:val="13"/>
  </w:num>
  <w:num w:numId="9">
    <w:abstractNumId w:val="9"/>
  </w:num>
  <w:num w:numId="10">
    <w:abstractNumId w:val="6"/>
  </w:num>
  <w:num w:numId="11">
    <w:abstractNumId w:val="24"/>
  </w:num>
  <w:num w:numId="12">
    <w:abstractNumId w:val="16"/>
  </w:num>
  <w:num w:numId="13">
    <w:abstractNumId w:val="17"/>
  </w:num>
  <w:num w:numId="14">
    <w:abstractNumId w:val="15"/>
  </w:num>
  <w:num w:numId="15">
    <w:abstractNumId w:val="18"/>
  </w:num>
  <w:num w:numId="16">
    <w:abstractNumId w:val="19"/>
  </w:num>
  <w:num w:numId="17">
    <w:abstractNumId w:val="20"/>
  </w:num>
  <w:num w:numId="18">
    <w:abstractNumId w:val="4"/>
  </w:num>
  <w:num w:numId="19">
    <w:abstractNumId w:val="3"/>
  </w:num>
  <w:num w:numId="20">
    <w:abstractNumId w:val="2"/>
  </w:num>
  <w:num w:numId="21">
    <w:abstractNumId w:val="1"/>
  </w:num>
  <w:num w:numId="22">
    <w:abstractNumId w:val="0"/>
  </w:num>
  <w:num w:numId="23">
    <w:abstractNumId w:val="22"/>
  </w:num>
  <w:num w:numId="24">
    <w:abstractNumId w:val="23"/>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048A8"/>
    <w:rsid w:val="00012C7D"/>
    <w:rsid w:val="00022C51"/>
    <w:rsid w:val="00032A0C"/>
    <w:rsid w:val="00095CFC"/>
    <w:rsid w:val="000A7188"/>
    <w:rsid w:val="000B50CC"/>
    <w:rsid w:val="000C53E7"/>
    <w:rsid w:val="000C66D4"/>
    <w:rsid w:val="000C6A2D"/>
    <w:rsid w:val="001148B0"/>
    <w:rsid w:val="0015409B"/>
    <w:rsid w:val="001714D4"/>
    <w:rsid w:val="001A4828"/>
    <w:rsid w:val="001B429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56AD8"/>
    <w:rsid w:val="004639C0"/>
    <w:rsid w:val="004955F6"/>
    <w:rsid w:val="004A47F9"/>
    <w:rsid w:val="004C2396"/>
    <w:rsid w:val="0050689E"/>
    <w:rsid w:val="00540062"/>
    <w:rsid w:val="00551B88"/>
    <w:rsid w:val="00581B4B"/>
    <w:rsid w:val="00587D31"/>
    <w:rsid w:val="00614D0A"/>
    <w:rsid w:val="00653E72"/>
    <w:rsid w:val="00661981"/>
    <w:rsid w:val="006A402B"/>
    <w:rsid w:val="006A5CFE"/>
    <w:rsid w:val="006B0218"/>
    <w:rsid w:val="006E0687"/>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56C81"/>
    <w:rsid w:val="00C73E1A"/>
    <w:rsid w:val="00C9289F"/>
    <w:rsid w:val="00CC38C8"/>
    <w:rsid w:val="00D03888"/>
    <w:rsid w:val="00D56265"/>
    <w:rsid w:val="00D9199A"/>
    <w:rsid w:val="00DB32C7"/>
    <w:rsid w:val="00E028D9"/>
    <w:rsid w:val="00E2265E"/>
    <w:rsid w:val="00E6220D"/>
    <w:rsid w:val="00E70490"/>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table" w:styleId="Tabellenraster">
    <w:name w:val="Table Grid"/>
    <w:basedOn w:val="NormaleTabelle"/>
    <w:uiPriority w:val="39"/>
    <w:rsid w:val="00E70490"/>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2020-01-21T15:44:00Z</dcterms:created>
  <dcterms:modified xsi:type="dcterms:W3CDTF">2020-01-21T15:44:00Z</dcterms:modified>
</cp:coreProperties>
</file>